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C6A2E">
      <w:pPr>
        <w:pStyle w:val="2"/>
        <w:bidi w:val="0"/>
        <w:ind w:left="0" w:leftChars="0" w:right="0" w:rightChars="0" w:firstLine="0" w:firstLineChars="0"/>
        <w:jc w:val="center"/>
        <w:rPr>
          <w:sz w:val="32"/>
          <w:szCs w:val="20"/>
        </w:rPr>
      </w:pPr>
      <w:bookmarkStart w:id="0" w:name="_GoBack"/>
      <w:r>
        <w:rPr>
          <w:rFonts w:hint="eastAsia"/>
          <w:sz w:val="32"/>
          <w:szCs w:val="20"/>
          <w:lang w:val="en-US"/>
        </w:rPr>
        <w:t>白云区2026年度入河排污口规范化建设（视频监控）项目市场调研资料</w:t>
      </w:r>
      <w:bookmarkEnd w:id="0"/>
    </w:p>
    <w:p w14:paraId="60C9711F">
      <w:pPr>
        <w:pStyle w:val="7"/>
        <w:spacing w:line="360" w:lineRule="auto"/>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一、项目概况：</w:t>
      </w:r>
    </w:p>
    <w:p w14:paraId="27A3FCA9">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（一）有关说明：</w:t>
      </w:r>
    </w:p>
    <w:p w14:paraId="7985193D">
      <w:pPr>
        <w:pStyle w:val="7"/>
        <w:spacing w:line="360" w:lineRule="auto"/>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1.响应供应商须对本项目的采购标的进行整体投标（响应），任何只对本项目采购标的其中一部分内容、数量进行的投标（响应）都被视为无效投标（响应）。</w:t>
      </w:r>
    </w:p>
    <w:p w14:paraId="70FE18AC">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2.本项目的项目属性：货物类。</w:t>
      </w:r>
    </w:p>
    <w:p w14:paraId="707E1290">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3.本次采购产品为非进口产品（非进口产品是指不需要通过中国海关报关验放已在中国境内且产自关境内的产品）。</w:t>
      </w:r>
    </w:p>
    <w:p w14:paraId="51F9720E">
      <w:pPr>
        <w:pStyle w:val="7"/>
        <w:spacing w:line="360" w:lineRule="auto"/>
        <w:ind w:firstLine="42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4.采购需求中标注“★”号条款为实质性条款，必须逐条进行响应，有任何一条负偏离的，将导致无效响应。</w:t>
      </w:r>
    </w:p>
    <w:p w14:paraId="3C8531DA">
      <w:pPr>
        <w:pStyle w:val="7"/>
        <w:spacing w:line="360" w:lineRule="auto"/>
        <w:ind w:firstLine="42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★5.凡列入《中华人民共和国实施强制性产品认证的产品目录》的产品，供应商承诺在交货时提供对应产品的CCC认证证书复印件。[投标（响应）时提供承诺函并加盖供应商公章]。</w:t>
      </w:r>
    </w:p>
    <w:p w14:paraId="165FDF30">
      <w:pPr>
        <w:pStyle w:val="7"/>
        <w:spacing w:line="360" w:lineRule="auto"/>
        <w:ind w:firstLine="42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凡属于《节能产品政府采购品目清单》中政府强制采购的节能产品，供应商承诺在交货时提供对应产品的《节能产品认证证书》复印件。（注：《节能产品政府采购品目清单》供应商可查询中国政府采购网&lt;http：//www.ccgp.gov.cn&gt;。）[投标（响应）时提供承诺函并加盖供应商公章]。</w:t>
      </w:r>
    </w:p>
    <w:p w14:paraId="77F97B0A">
      <w:pPr>
        <w:pStyle w:val="7"/>
        <w:spacing w:line="360" w:lineRule="auto"/>
        <w:ind w:firstLine="42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（二）贯彻落实《入河入海排污口监督管理技术指南入河排污口规范化建设》（HJ 1309-2023）和《广州市入河排污口规范化建设技术要求》（参考稿）要求，并结合广州市白云区实际管理需求，在白云区建设42套视频监控设备，完善白云区入河排污口建设监督管理体系，有效控制入河污染物排放，对于保障河流水质优良，提升人民群众从生态环境质量提升中获得的幸福感具有重大意义。</w:t>
      </w:r>
    </w:p>
    <w:p w14:paraId="6F6A9C2B">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5C0253A9">
      <w:pPr>
        <w:pStyle w:val="7"/>
        <w:spacing w:line="360" w:lineRule="auto"/>
        <w:ind w:firstLine="42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（三）视频监控设施建设表</w:t>
      </w:r>
    </w:p>
    <w:tbl>
      <w:tblPr>
        <w:tblStyle w:val="4"/>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39"/>
        <w:gridCol w:w="1585"/>
        <w:gridCol w:w="4321"/>
        <w:gridCol w:w="734"/>
        <w:gridCol w:w="925"/>
      </w:tblGrid>
      <w:tr w14:paraId="16F55C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3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7C5F69">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序号</w:t>
            </w:r>
          </w:p>
        </w:tc>
        <w:tc>
          <w:tcPr>
            <w:tcW w:w="5906" w:type="dxa"/>
            <w:gridSpan w:val="2"/>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3DE8E59">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建设内容</w:t>
            </w:r>
          </w:p>
        </w:tc>
        <w:tc>
          <w:tcPr>
            <w:tcW w:w="73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E1B403">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单位</w:t>
            </w:r>
          </w:p>
        </w:tc>
        <w:tc>
          <w:tcPr>
            <w:tcW w:w="92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799C40">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数量</w:t>
            </w:r>
          </w:p>
        </w:tc>
      </w:tr>
      <w:tr w14:paraId="037055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3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99531F">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58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03AD41">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仪器设备</w:t>
            </w:r>
          </w:p>
        </w:tc>
        <w:tc>
          <w:tcPr>
            <w:tcW w:w="43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D9C43C">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摄像机</w:t>
            </w:r>
          </w:p>
        </w:tc>
        <w:tc>
          <w:tcPr>
            <w:tcW w:w="7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9E0AE3">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92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1E7F17">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w:t>
            </w:r>
          </w:p>
        </w:tc>
      </w:tr>
      <w:tr w14:paraId="3E4391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39" w:type="dxa"/>
            <w:vMerge w:val="continue"/>
            <w:tcBorders>
              <w:top w:val="nil"/>
              <w:left w:val="single" w:color="000000" w:sz="4" w:space="0"/>
              <w:bottom w:val="single" w:color="000000" w:sz="4" w:space="0"/>
              <w:right w:val="single" w:color="000000" w:sz="4" w:space="0"/>
            </w:tcBorders>
          </w:tcPr>
          <w:p w14:paraId="71C76D4C">
            <w:pPr>
              <w:spacing w:line="360" w:lineRule="auto"/>
              <w:rPr>
                <w:rFonts w:hint="eastAsia" w:asciiTheme="minorEastAsia" w:hAnsiTheme="minorEastAsia" w:eastAsiaTheme="minorEastAsia" w:cstheme="minorEastAsia"/>
                <w:sz w:val="24"/>
                <w:szCs w:val="24"/>
              </w:rPr>
            </w:pPr>
          </w:p>
        </w:tc>
        <w:tc>
          <w:tcPr>
            <w:tcW w:w="1585" w:type="dxa"/>
            <w:vMerge w:val="continue"/>
            <w:tcBorders>
              <w:top w:val="nil"/>
              <w:left w:val="single" w:color="000000" w:sz="4" w:space="0"/>
              <w:bottom w:val="single" w:color="000000" w:sz="4" w:space="0"/>
              <w:right w:val="single" w:color="000000" w:sz="4" w:space="0"/>
            </w:tcBorders>
          </w:tcPr>
          <w:p w14:paraId="08E7C87B">
            <w:pPr>
              <w:spacing w:line="360" w:lineRule="auto"/>
              <w:rPr>
                <w:rFonts w:hint="eastAsia" w:asciiTheme="minorEastAsia" w:hAnsiTheme="minorEastAsia" w:eastAsiaTheme="minorEastAsia" w:cstheme="minorEastAsia"/>
                <w:sz w:val="24"/>
                <w:szCs w:val="24"/>
              </w:rPr>
            </w:pPr>
          </w:p>
        </w:tc>
        <w:tc>
          <w:tcPr>
            <w:tcW w:w="43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5AD647">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录像机</w:t>
            </w:r>
          </w:p>
        </w:tc>
        <w:tc>
          <w:tcPr>
            <w:tcW w:w="7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1B44FE">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9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BC19C7">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w:t>
            </w:r>
          </w:p>
        </w:tc>
      </w:tr>
      <w:tr w14:paraId="79901B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39" w:type="dxa"/>
            <w:vMerge w:val="continue"/>
            <w:tcBorders>
              <w:top w:val="nil"/>
              <w:left w:val="single" w:color="000000" w:sz="4" w:space="0"/>
              <w:bottom w:val="single" w:color="000000" w:sz="4" w:space="0"/>
              <w:right w:val="single" w:color="000000" w:sz="4" w:space="0"/>
            </w:tcBorders>
          </w:tcPr>
          <w:p w14:paraId="576C03B2">
            <w:pPr>
              <w:spacing w:line="360" w:lineRule="auto"/>
              <w:rPr>
                <w:rFonts w:hint="eastAsia" w:asciiTheme="minorEastAsia" w:hAnsiTheme="minorEastAsia" w:eastAsiaTheme="minorEastAsia" w:cstheme="minorEastAsia"/>
                <w:sz w:val="24"/>
                <w:szCs w:val="24"/>
              </w:rPr>
            </w:pPr>
          </w:p>
        </w:tc>
        <w:tc>
          <w:tcPr>
            <w:tcW w:w="1585" w:type="dxa"/>
            <w:vMerge w:val="continue"/>
            <w:tcBorders>
              <w:top w:val="nil"/>
              <w:left w:val="single" w:color="000000" w:sz="4" w:space="0"/>
              <w:bottom w:val="single" w:color="000000" w:sz="4" w:space="0"/>
              <w:right w:val="single" w:color="000000" w:sz="4" w:space="0"/>
            </w:tcBorders>
          </w:tcPr>
          <w:p w14:paraId="37423B52">
            <w:pPr>
              <w:spacing w:line="360" w:lineRule="auto"/>
              <w:rPr>
                <w:rFonts w:hint="eastAsia" w:asciiTheme="minorEastAsia" w:hAnsiTheme="minorEastAsia" w:eastAsiaTheme="minorEastAsia" w:cstheme="minorEastAsia"/>
                <w:sz w:val="24"/>
                <w:szCs w:val="24"/>
              </w:rPr>
            </w:pPr>
          </w:p>
        </w:tc>
        <w:tc>
          <w:tcPr>
            <w:tcW w:w="43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D3D125">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立杆、基座、臂架等</w:t>
            </w:r>
          </w:p>
        </w:tc>
        <w:tc>
          <w:tcPr>
            <w:tcW w:w="7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2E8459">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9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F868CF">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w:t>
            </w:r>
          </w:p>
        </w:tc>
      </w:tr>
      <w:tr w14:paraId="3AB360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F8222B">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5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32BFC0">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供电系统</w:t>
            </w:r>
          </w:p>
        </w:tc>
        <w:tc>
          <w:tcPr>
            <w:tcW w:w="43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79A331">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供电系统等（优先接入市电，不具备接入市电条件时，考虑光电或者风电）</w:t>
            </w:r>
          </w:p>
        </w:tc>
        <w:tc>
          <w:tcPr>
            <w:tcW w:w="7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A6D4B3">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9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E55AE1">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w:t>
            </w:r>
          </w:p>
        </w:tc>
      </w:tr>
      <w:tr w14:paraId="6B2F4D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43F1DC">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5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C61FA8">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w:t>
            </w:r>
          </w:p>
        </w:tc>
        <w:tc>
          <w:tcPr>
            <w:tcW w:w="43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A05896">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防雷及接地设备、设备箱、路由器等</w:t>
            </w:r>
          </w:p>
        </w:tc>
        <w:tc>
          <w:tcPr>
            <w:tcW w:w="7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DC6BA">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9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A8FC6A">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w:t>
            </w:r>
          </w:p>
        </w:tc>
      </w:tr>
      <w:tr w14:paraId="467D20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3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9D73E7">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5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645FF0">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储存设备</w:t>
            </w:r>
          </w:p>
        </w:tc>
        <w:tc>
          <w:tcPr>
            <w:tcW w:w="43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ED119E">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显卡等</w:t>
            </w:r>
          </w:p>
        </w:tc>
        <w:tc>
          <w:tcPr>
            <w:tcW w:w="7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8DA543">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9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929102">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r>
    </w:tbl>
    <w:p w14:paraId="5427161A">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采购包1（白云区2026年度入河排污口规范化建设（视频监控））</w:t>
      </w:r>
    </w:p>
    <w:p w14:paraId="07B933D8">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1.主要商务要求</w:t>
      </w:r>
    </w:p>
    <w:tbl>
      <w:tblPr>
        <w:tblStyle w:val="4"/>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32"/>
        <w:gridCol w:w="6374"/>
      </w:tblGrid>
      <w:tr w14:paraId="2FF588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32" w:type="dxa"/>
          </w:tcPr>
          <w:p w14:paraId="7AAE1D57">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标的提供的时间</w:t>
            </w:r>
          </w:p>
        </w:tc>
        <w:tc>
          <w:tcPr>
            <w:tcW w:w="6374" w:type="dxa"/>
          </w:tcPr>
          <w:p w14:paraId="2359C05E">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项目应于2027年12月底前完成建设并经验收投运，并确保在2030年12月底前正常运行。</w:t>
            </w:r>
          </w:p>
        </w:tc>
      </w:tr>
      <w:tr w14:paraId="76BD1B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32" w:type="dxa"/>
          </w:tcPr>
          <w:p w14:paraId="67F1F3E0">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标的提供的地点</w:t>
            </w:r>
          </w:p>
        </w:tc>
        <w:tc>
          <w:tcPr>
            <w:tcW w:w="6374" w:type="dxa"/>
          </w:tcPr>
          <w:p w14:paraId="1D85CCB2">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采购人指定地点（广州市白云区）</w:t>
            </w:r>
          </w:p>
        </w:tc>
      </w:tr>
      <w:tr w14:paraId="3C978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32" w:type="dxa"/>
          </w:tcPr>
          <w:p w14:paraId="10FB997F">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付款方式</w:t>
            </w:r>
          </w:p>
        </w:tc>
        <w:tc>
          <w:tcPr>
            <w:tcW w:w="6374" w:type="dxa"/>
          </w:tcPr>
          <w:p w14:paraId="3129D014">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1期：支付比例15%,合同签订生效后，采购人向成交供应商支付合同总额的15%。</w:t>
            </w:r>
          </w:p>
          <w:p w14:paraId="29015947">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2期：支付比例20%,成交供应商于2026年11月前完成不少于20套视频监控设备建设工作，采购人向成交供应商支付合同总额的20%。</w:t>
            </w:r>
          </w:p>
          <w:p w14:paraId="2EF94632">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3期：支付比例40%,2027年11月底前，成交供应商完成全部视频监控设备并投入使用，成交供应商提交工作成果，通过分局组织项目验收，采购人向成交供应商支付项目合同款40%。</w:t>
            </w:r>
          </w:p>
          <w:p w14:paraId="0AC75D25">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4期：支付比例25%,2028年6月底前，成交供应商提供项目正常运行半年报告，项目全部成果通过验收并获得采购人认可后，支付项目合同尾款。 注：（1）结算材料： ①合同； ②成交供应商开具的有效税务发票； ③经采购人审核确认的成果材料（加盖采购人公章）。 （2）每次支付前，中标供应商须先提供有效的等额发票并附上有关材料给采购人，采购人收到发票后按照合同约定支付等额费用。若成交供应商无法按时提供有效的等额发票及有关材料，致使采购人无法及时履行支付义务，不视为采购人违约，所造成的损失由中标供应商承担。 （3）因采购人使用的是财政资金，采购人在前款规定的付款时间为向政府采购支付部门提出办理财政支付申请手续的时间（不含政府财政支付部门审核的时间），在规定时间内提出支付申请手续后即视为采购人已经按期支付，相关付款到账时间及金额以财政拨款实际到付时间及金额为准，成交供应商不得因拨款的迟延而怠于履行合同义务或要求采购人承担违约责任。</w:t>
            </w:r>
          </w:p>
          <w:p w14:paraId="14C151DB">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如项目发生合同融资，采购人需将合同款项支付到合同约定收款账户</w:t>
            </w:r>
          </w:p>
        </w:tc>
      </w:tr>
      <w:tr w14:paraId="3B561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32" w:type="dxa"/>
          </w:tcPr>
          <w:p w14:paraId="56648E91">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验收要求</w:t>
            </w:r>
          </w:p>
        </w:tc>
        <w:tc>
          <w:tcPr>
            <w:tcW w:w="6374" w:type="dxa"/>
          </w:tcPr>
          <w:p w14:paraId="77022423">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1期：1.项目成果必须通过采购人的验收。 2.成交供应商须为验收提供必需的一切条件及相关费用。 3.项目验收依次序对照执行标准： （1）符合中华人民共和国国家和服务地点相关安全质量标准、行业技术规范标准、环保节能标准； （2）依据本项目的合同以及采购人签署的会议纪要、备忘录等文件。 （3）符合官方颁布标准； （4）上述各类标准与法规必须是有关官方机构最新发布的现行标准版本，上述各项次序如后者标准要求高于前者，则以最高标准为验收标准。 4.成交供应商完成项目全部工作内容，并提交相关成果报告、过程文档以及项目完成工作报告等资料，经采购人审核后，组织项目验收。</w:t>
            </w:r>
          </w:p>
        </w:tc>
      </w:tr>
      <w:tr w14:paraId="555FB0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32" w:type="dxa"/>
          </w:tcPr>
          <w:p w14:paraId="390D2ECA">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w:t>
            </w:r>
          </w:p>
        </w:tc>
        <w:tc>
          <w:tcPr>
            <w:tcW w:w="6374" w:type="dxa"/>
          </w:tcPr>
          <w:p w14:paraId="153B966F">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不收取</w:t>
            </w:r>
          </w:p>
        </w:tc>
      </w:tr>
      <w:tr w14:paraId="0D968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32" w:type="dxa"/>
          </w:tcPr>
          <w:p w14:paraId="03A56588">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w:t>
            </w:r>
          </w:p>
        </w:tc>
        <w:tc>
          <w:tcPr>
            <w:tcW w:w="6374" w:type="dxa"/>
          </w:tcPr>
          <w:p w14:paraId="4605407E">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1.知识产权归属要求：本项目所有交付成果（包括但不限于业务数据资料库、方案、报告、图集等）的知识产权归采购人所有，成交供应商不得擅自使用、复制或向第三方转让成果。</w:t>
            </w:r>
          </w:p>
          <w:p w14:paraId="665B09D8">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2.总体设备安装维护要求： （1）设备及配套安装、调试、培训、试运行、验收交付，以及安装所需辅材、线缆、配件耗材、临时设施等全部费用； （2）项目运营所需设备网络通信、信息报送、存储、安全防护、链路租赁等相关费用； （3）人工、差旅、会议、调研、方案设计、数据处理整合、设备日常管理、质量管控、技术保障、设备日常管理等费用，含管理费、利润、税金及各类政策性规费； （4）项目必需的设备功能组件、报送授权及相关知识产权许可使用费； （5）设备运行耗材、备品备件、易损件及质保期内零部件更换费用； （6）项目成果知识产权申请、登记、转让及许可使用相关费用； （7）竣工验收、资产移交、档案整理及主管部门备案全部费用； （8）合同履行期内所有可预见及不可预见风险、责任与附加费用（含物价波动、政策调整、技术更新、现场配合等）。</w:t>
            </w:r>
          </w:p>
          <w:p w14:paraId="469A022B">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项目响应报价为完成本项目全部采购内容、验收交付、投入使用及合同履行期内全套设备配套服务的固定总价包干价，供应商的报价应为包含完成本项目全部履约义务所需一切费用，采购人不再另行支付任何款项。供应商应已充分研判采购需求与项目实施风险，响应报价涵盖全部成本及合理利润，成交后不得以理解偏差、漏项、市场变动等任何理由申请加价或索赔。</w:t>
            </w:r>
          </w:p>
        </w:tc>
      </w:tr>
    </w:tbl>
    <w:p w14:paraId="73C86B2B">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2.技术标准与要求</w:t>
      </w:r>
    </w:p>
    <w:tbl>
      <w:tblPr>
        <w:tblStyle w:val="4"/>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4"/>
        <w:gridCol w:w="1267"/>
        <w:gridCol w:w="1657"/>
        <w:gridCol w:w="1204"/>
        <w:gridCol w:w="1301"/>
        <w:gridCol w:w="1102"/>
        <w:gridCol w:w="1204"/>
      </w:tblGrid>
      <w:tr w14:paraId="2FF1FD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60" w:type="pct"/>
            <w:vAlign w:val="center"/>
          </w:tcPr>
          <w:p w14:paraId="20152BBD">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743" w:type="pct"/>
            <w:vAlign w:val="center"/>
          </w:tcPr>
          <w:p w14:paraId="422A5E8B">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品目名称</w:t>
            </w:r>
          </w:p>
        </w:tc>
        <w:tc>
          <w:tcPr>
            <w:tcW w:w="972" w:type="pct"/>
            <w:vAlign w:val="center"/>
          </w:tcPr>
          <w:p w14:paraId="2400D260">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706" w:type="pct"/>
            <w:vAlign w:val="center"/>
          </w:tcPr>
          <w:p w14:paraId="4310EB5E">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w:t>
            </w:r>
          </w:p>
        </w:tc>
        <w:tc>
          <w:tcPr>
            <w:tcW w:w="763" w:type="pct"/>
            <w:vAlign w:val="center"/>
          </w:tcPr>
          <w:p w14:paraId="49B5BD87">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646" w:type="pct"/>
            <w:vAlign w:val="center"/>
          </w:tcPr>
          <w:p w14:paraId="2EB6C088">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所属行业</w:t>
            </w:r>
          </w:p>
        </w:tc>
        <w:tc>
          <w:tcPr>
            <w:tcW w:w="706" w:type="pct"/>
            <w:vAlign w:val="center"/>
          </w:tcPr>
          <w:p w14:paraId="6027EF30">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技术要求</w:t>
            </w:r>
          </w:p>
        </w:tc>
      </w:tr>
      <w:tr w14:paraId="627FF2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60" w:type="pct"/>
            <w:vAlign w:val="center"/>
          </w:tcPr>
          <w:p w14:paraId="0E57A258">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43" w:type="pct"/>
            <w:vAlign w:val="center"/>
          </w:tcPr>
          <w:p w14:paraId="53DA3824">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其他环境污染防治设备</w:t>
            </w:r>
          </w:p>
        </w:tc>
        <w:tc>
          <w:tcPr>
            <w:tcW w:w="972" w:type="pct"/>
            <w:vAlign w:val="center"/>
          </w:tcPr>
          <w:p w14:paraId="120C696A">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白云区2026年度入河排污口规范化建设（视频监控）</w:t>
            </w:r>
          </w:p>
        </w:tc>
        <w:tc>
          <w:tcPr>
            <w:tcW w:w="706" w:type="pct"/>
            <w:vAlign w:val="center"/>
          </w:tcPr>
          <w:p w14:paraId="6E2B0BF0">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w:t>
            </w:r>
          </w:p>
        </w:tc>
        <w:tc>
          <w:tcPr>
            <w:tcW w:w="763" w:type="pct"/>
            <w:vAlign w:val="center"/>
          </w:tcPr>
          <w:p w14:paraId="173C3059">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w:t>
            </w:r>
          </w:p>
        </w:tc>
        <w:tc>
          <w:tcPr>
            <w:tcW w:w="646" w:type="pct"/>
            <w:vAlign w:val="center"/>
          </w:tcPr>
          <w:p w14:paraId="5D8C9E4A">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工业</w:t>
            </w:r>
          </w:p>
        </w:tc>
        <w:tc>
          <w:tcPr>
            <w:tcW w:w="706" w:type="pct"/>
            <w:vAlign w:val="center"/>
          </w:tcPr>
          <w:p w14:paraId="0CF98FF4">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详见附表一</w:t>
            </w:r>
          </w:p>
        </w:tc>
      </w:tr>
    </w:tbl>
    <w:p w14:paraId="7BFB6BE1">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14:paraId="2296357A">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附表一：白云区2026年度入河排污口规范化建设（视频监控）</w:t>
      </w:r>
    </w:p>
    <w:tbl>
      <w:tblPr>
        <w:tblStyle w:val="4"/>
        <w:tblW w:w="857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21"/>
        <w:gridCol w:w="654"/>
        <w:gridCol w:w="7200"/>
      </w:tblGrid>
      <w:tr w14:paraId="4FE41E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21" w:type="dxa"/>
          </w:tcPr>
          <w:p w14:paraId="28D3033D">
            <w:pPr>
              <w:pStyle w:val="7"/>
              <w:spacing w:line="36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参数性质</w:t>
            </w:r>
          </w:p>
        </w:tc>
        <w:tc>
          <w:tcPr>
            <w:tcW w:w="654" w:type="dxa"/>
          </w:tcPr>
          <w:p w14:paraId="0B11E76E">
            <w:pPr>
              <w:pStyle w:val="7"/>
              <w:spacing w:line="36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7200" w:type="dxa"/>
          </w:tcPr>
          <w:p w14:paraId="3F24CFDB">
            <w:pPr>
              <w:pStyle w:val="7"/>
              <w:spacing w:line="360" w:lineRule="auto"/>
              <w:ind w:left="0" w:leftChars="0" w:right="0" w:rightChars="0"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具体技术(参数)要求</w:t>
            </w:r>
          </w:p>
        </w:tc>
      </w:tr>
      <w:tr w14:paraId="7576BD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dxa"/>
          </w:tcPr>
          <w:p w14:paraId="146D6D2F">
            <w:pPr>
              <w:spacing w:line="360" w:lineRule="auto"/>
              <w:rPr>
                <w:rFonts w:hint="eastAsia" w:asciiTheme="minorEastAsia" w:hAnsiTheme="minorEastAsia" w:eastAsiaTheme="minorEastAsia" w:cstheme="minorEastAsia"/>
                <w:sz w:val="24"/>
                <w:szCs w:val="24"/>
              </w:rPr>
            </w:pPr>
          </w:p>
        </w:tc>
        <w:tc>
          <w:tcPr>
            <w:tcW w:w="654" w:type="dxa"/>
          </w:tcPr>
          <w:p w14:paraId="7E6EB918">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200" w:type="dxa"/>
          </w:tcPr>
          <w:p w14:paraId="242E289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白云区重点入河排污口如城镇雨洪排口、农村污水处理设施排污口、河汊沟渠汇入口、城镇污水处理厂排污口等口门开展视频监控设施建设，视频监控设施建设数量不少于42套，并对白云区入河排污口规范化建设项目所有建成视频监控设施设备开展不少于3年质保与设备正常运行服务保障。具体清单详见：视频监控设施建设表</w:t>
            </w:r>
          </w:p>
        </w:tc>
      </w:tr>
      <w:tr w14:paraId="31C4D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dxa"/>
          </w:tcPr>
          <w:p w14:paraId="41A5DAA5">
            <w:pPr>
              <w:spacing w:line="360" w:lineRule="auto"/>
              <w:rPr>
                <w:rFonts w:hint="eastAsia" w:asciiTheme="minorEastAsia" w:hAnsiTheme="minorEastAsia" w:eastAsiaTheme="minorEastAsia" w:cstheme="minorEastAsia"/>
                <w:sz w:val="24"/>
                <w:szCs w:val="24"/>
              </w:rPr>
            </w:pPr>
          </w:p>
        </w:tc>
        <w:tc>
          <w:tcPr>
            <w:tcW w:w="654" w:type="dxa"/>
          </w:tcPr>
          <w:p w14:paraId="1B3E0A6B">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7200" w:type="dxa"/>
          </w:tcPr>
          <w:p w14:paraId="7D51C25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采购标的需执行的国家相关标准、行业标准、地方标准或者其他标准、规范</w:t>
            </w:r>
          </w:p>
          <w:p w14:paraId="0333457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(1)《建筑防雷设计规范》（GB50057-2010）</w:t>
            </w:r>
          </w:p>
          <w:p w14:paraId="2DF3E68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(2)《计算机场地安全要求》（GB/T 9361-2011）</w:t>
            </w:r>
          </w:p>
          <w:p w14:paraId="13CF6C3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(3)《数据中心设计规范》（GB50174-2017）</w:t>
            </w:r>
          </w:p>
          <w:p w14:paraId="537E5FF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(4)《地表水水质自动监测站选址与基础设施建设技术要求》（HJ 915.1-2024）</w:t>
            </w:r>
          </w:p>
          <w:p w14:paraId="01061D3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(5)《水污染物排放总量监测技术规范》</w:t>
            </w:r>
          </w:p>
          <w:p w14:paraId="6130296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(6)《水质水生态监测规范》（SL/T 219-2026）</w:t>
            </w:r>
          </w:p>
          <w:p w14:paraId="0C97CA0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(7)《国家环境监测技术规范》</w:t>
            </w:r>
          </w:p>
          <w:p w14:paraId="504382E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(8)《环境水质监测质量保证手册》</w:t>
            </w:r>
          </w:p>
          <w:p w14:paraId="4153736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(9)《地表水环境质量标准》（GB3838-2002）</w:t>
            </w:r>
          </w:p>
          <w:p w14:paraId="5706F20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(10)《入河入海排污口监督管理技术指南入河排污口规范化建设》（HJ 1309-2023）</w:t>
            </w:r>
          </w:p>
          <w:p w14:paraId="4BC7414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(11)《洪水影响评价技术导则》（SLT 808-2025）</w:t>
            </w:r>
          </w:p>
          <w:p w14:paraId="16552E9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(12)《涉河建设项目河道管理技术规范》（DB4401/T 19-2019）</w:t>
            </w:r>
          </w:p>
          <w:p w14:paraId="76E94D4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(13)《广州市水务管理条例》</w:t>
            </w:r>
          </w:p>
          <w:p w14:paraId="7BAA838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(14)《河道及水工程管理范围内建设项目所需材料清单及要求》</w:t>
            </w:r>
          </w:p>
          <w:p w14:paraId="342B13E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(15)《广州市入河排污口规范化建设技术要求》（参考稿）</w:t>
            </w:r>
          </w:p>
        </w:tc>
      </w:tr>
      <w:tr w14:paraId="60066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dxa"/>
          </w:tcPr>
          <w:p w14:paraId="15A8640C">
            <w:pPr>
              <w:spacing w:line="360" w:lineRule="auto"/>
              <w:rPr>
                <w:rFonts w:hint="eastAsia" w:asciiTheme="minorEastAsia" w:hAnsiTheme="minorEastAsia" w:eastAsiaTheme="minorEastAsia" w:cstheme="minorEastAsia"/>
                <w:sz w:val="24"/>
                <w:szCs w:val="24"/>
              </w:rPr>
            </w:pPr>
          </w:p>
        </w:tc>
        <w:tc>
          <w:tcPr>
            <w:tcW w:w="654" w:type="dxa"/>
          </w:tcPr>
          <w:p w14:paraId="0B68BCB4">
            <w:pPr>
              <w:pStyle w:val="7"/>
              <w:spacing w:line="360" w:lineRule="auto"/>
              <w:ind w:left="0" w:leftChars="0" w:right="0" w:rightChars="0"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7200" w:type="dxa"/>
          </w:tcPr>
          <w:p w14:paraId="0C91316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需满足的质量、安全、技术规格、物理特性等要求</w:t>
            </w:r>
          </w:p>
          <w:p w14:paraId="2EA45588">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(1)设置要求</w:t>
            </w:r>
          </w:p>
          <w:p w14:paraId="677802F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重点关注规模以上工矿企业排污口、工业及其他各类园区污水处理厂排污口、城镇污水处理厂排污口设置视频监控系统；鼓励设计日处理能力100 吨及以上农村污水处理设施排污口设置视频监控系统。</w:t>
            </w:r>
          </w:p>
          <w:p w14:paraId="0B988769">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(2)设置原则</w:t>
            </w:r>
          </w:p>
          <w:p w14:paraId="4770035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鼓励利用现有水务、公安、交通等视频监控系统开展排污口监控，统筹安装排污口视频监控系统与公安、交通等视频监控系统。</w:t>
            </w:r>
          </w:p>
          <w:p w14:paraId="575399FA">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(3)基座与立杆</w:t>
            </w:r>
          </w:p>
          <w:p w14:paraId="21EFDCC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①视频监控系统立杆的基座宜采用混凝土材质，基座的浇筑应满足后期线缆敷设需要，基座埋设在基坑内，基坑的开挖深度满足立杆抗风、抗震等稳定性要求；</w:t>
            </w:r>
          </w:p>
          <w:p w14:paraId="1CF432D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②视频监控系统立杆根据排污口周边实际环境宜采用不锈钢、热镀锌钢管等材料，立杆高度满足前端视频监控器使用及检修需要，立杆表层应进行防腐防锈处理，底部与基座稳固连接，设置防雷及接地系统。</w:t>
            </w:r>
          </w:p>
          <w:p w14:paraId="7263CB67">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(4)前端视频监控器</w:t>
            </w:r>
          </w:p>
          <w:p w14:paraId="4E75906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前端视频监控器应包含高清数字摄像头、网络视频录像机等。根据排污口周边实际环境及使用需求，高清数字摄像头水平分辨率选择2K及以上标准，网络视频录像机硬盘满足当前站点3个月的视频存储容量要求；</w:t>
            </w:r>
          </w:p>
          <w:p w14:paraId="44A3A6D1">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(5)设备箱</w:t>
            </w:r>
          </w:p>
          <w:p w14:paraId="143721E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设备箱空间尺寸应满足所有箱体内设备的安装布线要求，箱体宜采用不锈钢材质（厚度不低于2mm），设置百叶窗散热，并满足防水、防虫、防盗等要求；</w:t>
            </w:r>
          </w:p>
          <w:p w14:paraId="09C77840">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(6)路由器</w:t>
            </w:r>
          </w:p>
          <w:p w14:paraId="0C9919A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路由器应支持多种数据采集和视频监控设备，满足4G及以上通信要求，支持全网通信制式；</w:t>
            </w:r>
          </w:p>
          <w:p w14:paraId="77A6F1CE">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(7)供电系统</w:t>
            </w:r>
          </w:p>
          <w:p w14:paraId="5FA7A34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视频监控系统供电优先采用双路供电，可选供电方式包括太阳能供电、风力供电、有线供电等，优先选用有线供电，保证设备稳定持续运行，同时预留远程控制和设备重启功能接口，提高设备的可维护性。</w:t>
            </w:r>
          </w:p>
          <w:p w14:paraId="5B078040">
            <w:pPr>
              <w:pStyle w:val="7"/>
              <w:spacing w:line="360" w:lineRule="auto"/>
              <w:ind w:left="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(8)数据传输及应用要求</w:t>
            </w:r>
          </w:p>
          <w:p w14:paraId="71E4F5E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①系统总体架构</w:t>
            </w:r>
          </w:p>
          <w:p w14:paraId="73B91B5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视频监控系统采用“前端采集—边缘分析—平台管理”三层架构，具备前端信息处理能力：前端采集层：部署高清摄像机，对排污口进行全天候实时监控。边缘分析层：通过边缘计算设备运行深度学习算法，实现本地化智能分析。设备具备断网缓存能力，可本地存储不少于 100 条报警记录及对应证据。平台管理层：将分析结果上传至智能监管平台，实现统一管理、预警与处置闭环。</w:t>
            </w:r>
          </w:p>
          <w:p w14:paraId="41C3E44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②前端识别与报警触发规则</w:t>
            </w:r>
          </w:p>
          <w:p w14:paraId="177AFBB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以三类事件为例，系统自动识别并同步记录现场视频及图片，上传至监管平台触发报警。若有其他类型，可参照同样的前端处理要求及成果呈现要求执行。</w:t>
            </w:r>
          </w:p>
          <w:p w14:paraId="020E1FE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排放口排水检测：通过区域框定排放口监测位置，算法持续分析该区域的水体流动状态、颜色变化、反光特性等参数。一旦检测到异于“静止”状态的持续性流动及颜色变化，即判定为“正在排水”。</w:t>
            </w:r>
          </w:p>
          <w:p w14:paraId="5C1A0E3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水体颜色异常检测。预先设定正常水体（如清澈、淡黄）的颜色特征范围。摄像头持续分析水面主色调与色度分布，若出现预设范围之外的异常颜色（如乳白、红褐、翠绿等），立即触发报警。</w:t>
            </w:r>
          </w:p>
          <w:p w14:paraId="71A14CF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漂浮物检测：设备内置漂浮物识别模型，首先通过大模型区分水面、岸线与天空，再分析漂浮物的位置及大小。动态过滤波浪、倒影、水鸟等干扰因素。当识别出的漂浮物数量或面积超过设定限值时，触发报警。</w:t>
            </w:r>
          </w:p>
          <w:p w14:paraId="2D4BE08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③证据记录与传输要求</w:t>
            </w:r>
          </w:p>
          <w:p w14:paraId="412CE96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前端生成报警后，以“组图”形式将以下信息传输至监管平台。所有照片及视频片段画面左上角需叠加实时时间戳（精确到秒）、设备ID 及 GPS 坐标。</w:t>
            </w:r>
          </w:p>
          <w:p w14:paraId="4175C31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事件摘要：包含报警时间、排污口名称、报警类型及关键参数（如流动时长、颜色偏离度、漂浮物面积等）。</w:t>
            </w:r>
          </w:p>
          <w:p w14:paraId="2A519E7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图片证据区：左右并排展示全景图与细节图。全景图中用红色多边形或矩形框标出问题区域，支持鼠标悬停放大及右键下载。</w:t>
            </w:r>
          </w:p>
          <w:p w14:paraId="3C06809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视频证据区：内嵌播放器，支持播放、暂停、进度拖拽。</w:t>
            </w:r>
          </w:p>
          <w:p w14:paraId="776BC65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视频时长不超过1 分钟，下方显示时间轴标记（如排水开始点、颜色突变点）。</w:t>
            </w:r>
          </w:p>
          <w:p w14:paraId="145A99A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历史对比：自动调取该排污口前24小时内无报警时段的一张正常图片，与当前报警图片并排显示，便于人工比对。</w:t>
            </w:r>
          </w:p>
          <w:p w14:paraId="757106A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④实时视频与历史录像的报送要求支持GB/T 28181 协议进行报送。</w:t>
            </w:r>
          </w:p>
          <w:p w14:paraId="1185BE1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时间同步：分局平台及前端设备应与市级平台保持时间一致。具体同步方式（如NTP）由市级平台指定。</w:t>
            </w:r>
          </w:p>
          <w:p w14:paraId="0504794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响应市级平台发起的实时视频点播请求，推送实时视频流。</w:t>
            </w:r>
          </w:p>
          <w:p w14:paraId="36C79D8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响应市级平台发起的录像检索请求，返回指定时间段内的录像文件列表。</w:t>
            </w:r>
          </w:p>
          <w:p w14:paraId="0A5B45B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响应市级平台发起的录像回放请求，推送历史录像流。需支持7×24 小时远程实时预览及历史录像调取，无在线时长限制，且无登录并发限制。</w:t>
            </w:r>
          </w:p>
          <w:p w14:paraId="4F703D4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⑤按要求做好数据传输、收集，同时确保业主单位可随时调用查看数据。</w:t>
            </w:r>
          </w:p>
          <w:p w14:paraId="7EF78DE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（四）项目质量控制</w:t>
            </w:r>
          </w:p>
          <w:p w14:paraId="0F968DF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设备、设施功能与监管需求同步适配，同时必须符合采购标的需执行的国家相关标准、行业标准、地方标准或者其他标准、规范。</w:t>
            </w:r>
          </w:p>
          <w:p w14:paraId="5D15E24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工作开展过程不影响民生、防洪防涝和地方安全。</w:t>
            </w:r>
          </w:p>
          <w:p w14:paraId="67FE91F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（五）项目主要成果</w:t>
            </w:r>
          </w:p>
          <w:p w14:paraId="61E7FB2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《广州市白云区入河排污口规范化建设项目（视频监控）工作总结报告》</w:t>
            </w:r>
          </w:p>
          <w:p w14:paraId="1488D3B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（六）相关数据整理要求</w:t>
            </w:r>
          </w:p>
          <w:p w14:paraId="0060E77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按照局生态大脑统一规范对开展的视频监控等设备信息建立业务档案资料库，并按照局生态大脑统一规范要求，完成电子文件、文本等格式文件的制作，将监控数据等资料报送至局“生态大脑”。</w:t>
            </w:r>
          </w:p>
          <w:p w14:paraId="12B8543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（七）项目绩效目标</w:t>
            </w:r>
          </w:p>
          <w:p w14:paraId="456E52E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视频监控数量≥42套</w:t>
            </w:r>
          </w:p>
          <w:p w14:paraId="308F32F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（八）质量要求（质量保证体系、质量控制程序、质量措施）</w:t>
            </w:r>
          </w:p>
          <w:p w14:paraId="7331E74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交供应商提交的成果资料应符合有关法律法规、标准、规范的要求，并保证工作成果满足行政审批部门的要求，成交供应商提供的成果质量不合格，将无偿进行调整或采取补救措施，以达到质量要求；对于成果的质量问题和采购方临时提出的其他合理技术要求，成交供应商应按时进行修改或生产；成果交付后，在其正常使用时，出现任何由成交供应商造成的重大质量问题，成交供应商应承担由此引发的相关责任后果，妥善处理好各项善后事宜。</w:t>
            </w:r>
          </w:p>
          <w:p w14:paraId="26964DA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（九）进度要求（项目组织、管理实施、项目进度计划）</w:t>
            </w:r>
          </w:p>
          <w:p w14:paraId="02CCBA7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项目工作开展共分为三个阶段，具体安排如下：</w:t>
            </w:r>
          </w:p>
          <w:p w14:paraId="68867DC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(1)第一阶段，2026年11月底前，完成20套视频监控设备建设安装。</w:t>
            </w:r>
          </w:p>
          <w:p w14:paraId="6AF5F7D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(2)第二阶段，2027年11月底前，完成全部视频监控设备建设安装，提交《广州市白云区入河排污口规范化建设项目（视频监控）工作总结报告》初稿。</w:t>
            </w:r>
          </w:p>
          <w:p w14:paraId="01B5DC7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(3)第三阶段，2028年6月底前，提交《广州市白云区入河排污口规范化建设项目（视频监控）工作总结报告》终稿并通过采购人组织评审。</w:t>
            </w:r>
          </w:p>
        </w:tc>
      </w:tr>
      <w:tr w14:paraId="1CF6EF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dxa"/>
          </w:tcPr>
          <w:p w14:paraId="57DCD238">
            <w:pPr>
              <w:pStyle w:val="7"/>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w:t>
            </w:r>
          </w:p>
        </w:tc>
        <w:tc>
          <w:tcPr>
            <w:tcW w:w="7854" w:type="dxa"/>
            <w:gridSpan w:val="2"/>
          </w:tcPr>
          <w:p w14:paraId="04DFEA1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打“★”号条款为实质性条款，若有任何一条负偏离或不满足则导致投标无效。 </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t>打“▲”号条款为重要技术参数，若有部分“▲”条款未响应或不满足，不作为无效投标条款。</w:t>
            </w:r>
          </w:p>
        </w:tc>
      </w:tr>
    </w:tbl>
    <w:p w14:paraId="5878502F">
      <w:pPr>
        <w:spacing w:line="360" w:lineRule="auto"/>
        <w:rPr>
          <w:rFonts w:hint="eastAsia" w:asciiTheme="minorEastAsia" w:hAnsiTheme="minorEastAsia" w:eastAsiaTheme="minorEastAsia" w:cs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9244CF"/>
    <w:rsid w:val="069244CF"/>
    <w:rsid w:val="10021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 w:type="paragraph" w:customStyle="1" w:styleId="7">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2026-09-07T09:51:00Z</dcterms:created>
  <dc:creator>代理机构</dc:creator>
  <cp:lastModifiedBy>代理机构</cp:lastModifiedBy>
  <dcterms:modified xsi:type="dcterms:W3CDTF">2026-09-07T10:01:40Z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B74E1F6EC8FA48619FED3EDECFA99BD7_11</vt:lpwstr>
  </property>
  <property fmtid="{D5CDD505-2E9C-101B-9397-08002B2CF9AE}" pid="4" name="KSOTemplateDocerSaveRecord">
    <vt:lpwstr>eyJoZGlkIjoiYTIwZTEwOGFlZTI2ZTMwMzM4MDljODdhMDkyZGI2ZGMiLCJ1c2VySWQiOiIyOTc1OTI1ODUifQ==</vt:lpwstr>
  </property>
</Properties>
</file>