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CB408">
      <w:pPr>
        <w:ind w:left="0" w:leftChars="0" w:right="0" w:rightChars="0" w:firstLine="0" w:firstLineChars="0"/>
        <w:jc w:val="center"/>
        <w:rPr>
          <w:rFonts w:hint="eastAsia"/>
          <w:b/>
          <w:sz w:val="32"/>
          <w:szCs w:val="32"/>
          <w:lang w:val="en-US" w:eastAsia="zh-CN"/>
        </w:rPr>
      </w:pPr>
      <w:r>
        <w:rPr>
          <w:rFonts w:hint="eastAsia"/>
          <w:b/>
          <w:sz w:val="32"/>
          <w:szCs w:val="32"/>
          <w:lang w:eastAsia="zh-CN"/>
        </w:rPr>
        <w:t>广东省林草湿变化图斑提取及数据对接技术服务(2026年)</w:t>
      </w:r>
      <w:r>
        <w:rPr>
          <w:rFonts w:hint="eastAsia" w:asciiTheme="minorHAnsi" w:eastAsiaTheme="minorEastAsia"/>
          <w:b/>
          <w:sz w:val="32"/>
          <w:szCs w:val="32"/>
          <w:lang w:val="en-US" w:eastAsia="zh-CN"/>
        </w:rPr>
        <w:t>采购需求</w:t>
      </w:r>
    </w:p>
    <w:p w14:paraId="607BB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outlineLvl w:val="2"/>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一、项目概况：</w:t>
      </w:r>
    </w:p>
    <w:p w14:paraId="7DF382D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pacing w:val="10"/>
          <w:sz w:val="24"/>
          <w:szCs w:val="24"/>
          <w:highlight w:val="none"/>
        </w:rPr>
        <w:t>有关说明：</w:t>
      </w:r>
    </w:p>
    <w:p w14:paraId="5B4B859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2"/>
          <w:sz w:val="24"/>
          <w:szCs w:val="24"/>
          <w:highlight w:val="none"/>
        </w:rPr>
        <w:t>投标人须对本项目的采购标的进行整体投标，任何只对本项目采购标的其中一部分内容、数量进行的投标都被视为无</w:t>
      </w:r>
      <w:r>
        <w:rPr>
          <w:rFonts w:hint="eastAsia" w:ascii="宋体" w:hAnsi="宋体" w:eastAsia="宋体" w:cs="宋体"/>
          <w:color w:val="auto"/>
          <w:spacing w:val="-2"/>
          <w:sz w:val="24"/>
          <w:szCs w:val="24"/>
          <w:highlight w:val="none"/>
        </w:rPr>
        <w:t>效投标。</w:t>
      </w:r>
    </w:p>
    <w:p w14:paraId="63981E9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2.采购需求中标注“★”号条款为实质性条款，必须逐条进行响应，有任何一条负偏离的，将导致无效投标。</w:t>
      </w:r>
    </w:p>
    <w:p w14:paraId="468D87C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3.采购需求中标注“▲”号条款为重要技术参数，但不作为无效投标条款。</w:t>
      </w:r>
    </w:p>
    <w:p w14:paraId="72AB3DC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lang w:val="en-US" w:eastAsia="zh-CN"/>
        </w:rPr>
      </w:pPr>
      <w:r>
        <w:rPr>
          <w:rFonts w:hint="eastAsia" w:ascii="Calibri" w:hAnsi="Calibri" w:eastAsia="宋体" w:cs="Times New Roman"/>
          <w:color w:val="auto"/>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z w:val="24"/>
          <w:szCs w:val="24"/>
          <w:highlight w:val="none"/>
          <w:lang w:val="en-US" w:eastAsia="zh-CN"/>
        </w:rPr>
        <w:t>本章中主要商务要求中的“标的提供的时间”、“标的提供的地点”、“付款方式”、“验收要求”内容均为实质性的条款，投标供应商必须对此响应并完全满足或优于这些条款，否则将按无效投标处理。</w:t>
      </w:r>
    </w:p>
    <w:p w14:paraId="7DA936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采购包1（林草湿变化图斑提取及数据对接技术服务）：</w:t>
      </w:r>
    </w:p>
    <w:p w14:paraId="17745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1.主要商务要求</w:t>
      </w:r>
    </w:p>
    <w:tbl>
      <w:tblPr>
        <w:tblStyle w:val="3"/>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3"/>
        <w:gridCol w:w="6855"/>
      </w:tblGrid>
      <w:tr w14:paraId="779578F1">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E9DCA0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标的提供的时间</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306B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自合同签订之日起至202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年11月20号前完成项目验收</w:t>
            </w:r>
          </w:p>
        </w:tc>
      </w:tr>
      <w:tr w14:paraId="485DA9E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1433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标的提供的地点</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06F34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广东省</w:t>
            </w:r>
            <w:r>
              <w:rPr>
                <w:rFonts w:hint="eastAsia" w:ascii="宋体" w:hAnsi="宋体" w:eastAsia="宋体" w:cs="宋体"/>
                <w:color w:val="auto"/>
                <w:sz w:val="24"/>
                <w:szCs w:val="24"/>
                <w:highlight w:val="none"/>
                <w:lang w:val="en-US" w:eastAsia="zh-CN"/>
              </w:rPr>
              <w:t>广州市</w:t>
            </w:r>
          </w:p>
        </w:tc>
      </w:tr>
      <w:tr w14:paraId="0D245230">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709DD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付款方式</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4CE3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：支付比例</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%,签订合同后15个工作日内采购人支付合同总金额的70%。</w:t>
            </w:r>
          </w:p>
          <w:p w14:paraId="29386C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2期（进度款）：支付比例20%，提交初步成果报告后15个工作日内，采购人支付合同总金额的20%。</w:t>
            </w:r>
          </w:p>
          <w:p w14:paraId="6A3BD6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3期（尾款）：支付比例10%，经采购人验收合格后15个工作日内，支付合同总金额的10%。</w:t>
            </w:r>
          </w:p>
          <w:p w14:paraId="0AA919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1）本采购包的费用由财政集中支付，采购人在前款规定的付款时间为向财政支付部门提出办理财政集中支付申请的时间（不含财政支付部门审核的时间），采购人在规定时间内提出办理支付申请后即视为采购人已经按期支付。因财政拨款延误而导致采购人逾期付款的，采购人不承担违约责任，并且此情况不能成为中标供应商不继续服务的理由。</w:t>
            </w:r>
          </w:p>
          <w:p w14:paraId="769EA9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每次支付前，中标供应商须先提供有效的等额发票并附上有关材料给采购人，采购人收到发票后按照合同约定支付等额费用。若中标供应商无法按时提供有效的等额发票及有关材料，致使采购人无法及时履行支付义务，不视为采购人违约，所造成的损失由中标供应商承担。</w:t>
            </w:r>
          </w:p>
          <w:p w14:paraId="1B2EEFA9">
            <w:pPr>
              <w:widowControl w:val="0"/>
              <w:ind w:left="0"/>
              <w:jc w:val="both"/>
              <w:rPr>
                <w:rFonts w:hint="eastAsia" w:ascii="Calibri" w:hAnsi="Calibri" w:eastAsia="宋体" w:cs="Times New Roman"/>
                <w:color w:val="auto"/>
                <w:kern w:val="2"/>
                <w:sz w:val="19"/>
                <w:szCs w:val="19"/>
                <w:highlight w:val="none"/>
                <w:lang w:val="en-US" w:eastAsia="zh-CN" w:bidi="ar-SA"/>
              </w:rPr>
            </w:pPr>
            <w:r>
              <w:rPr>
                <w:rFonts w:hint="eastAsia" w:ascii="宋体" w:hAnsi="宋体" w:eastAsia="宋体" w:cs="宋体"/>
                <w:color w:val="auto"/>
                <w:kern w:val="2"/>
                <w:sz w:val="24"/>
                <w:szCs w:val="24"/>
                <w:highlight w:val="none"/>
                <w:lang w:val="en-US" w:eastAsia="zh-CN" w:bidi="ar-SA"/>
              </w:rPr>
              <w:t>如项目发生合同融资，采购人应当将合同款项支付到合同约定收款账户。</w:t>
            </w:r>
          </w:p>
        </w:tc>
      </w:tr>
      <w:tr w14:paraId="3F7BA7F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EEB2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验收要求</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D7E62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1期：1.验收内容：严格按照采购人的采购内容及需求，按时按质完成验收。</w:t>
            </w:r>
          </w:p>
          <w:p w14:paraId="529B34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2.验收方法：根据国家和省级相关政策文件、规范标准和技术文件，由采购人组织人员进行验收。</w:t>
            </w:r>
          </w:p>
        </w:tc>
      </w:tr>
      <w:tr w14:paraId="5274E28A">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23E13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履约保证金</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38BE1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43269F6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E46AD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47A99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报价要求：</w:t>
            </w:r>
          </w:p>
          <w:p w14:paraId="3024B7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响应供应商的报价应为人民币含税总价，报价应包含磋商文件中本采购包采购内容、责任范围以及合同条款所规定的所有工作的全部费用，包括但不限于本采购包设备购置费、差旅费、项目管理费、成果文件制作费用等所产生的一切费用。采购人不再另行支付任何费用。</w:t>
            </w:r>
          </w:p>
          <w:p w14:paraId="2F8482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响应供应商的报价应已包含完成本项目所需的人力成本、设备成本、利润、税金、交通等产生的任何费用，同时因国家和省级林草主管部门政策变化或技术指南更新而引起的项目调整、工作量增减及修改工作由中标供应商按要求完成，同时服务期可能顺延，采购人不另行支付费用。采购人将不予支付除磋商文件及承包合同约定的由采购人承担的风险因素之外的任何补偿。</w:t>
            </w:r>
          </w:p>
          <w:p w14:paraId="12ED69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响应供应商应对整个项目进行报价，不允许只对其中部分内容进行报价，否则作为其投标无效处理。</w:t>
            </w:r>
          </w:p>
        </w:tc>
      </w:tr>
    </w:tbl>
    <w:p w14:paraId="569D0B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2.技术标准与要求</w:t>
      </w:r>
    </w:p>
    <w:tbl>
      <w:tblPr>
        <w:tblStyle w:val="3"/>
        <w:tblW w:w="5155"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894"/>
        <w:gridCol w:w="710"/>
        <w:gridCol w:w="985"/>
        <w:gridCol w:w="502"/>
        <w:gridCol w:w="742"/>
        <w:gridCol w:w="1590"/>
        <w:gridCol w:w="1589"/>
        <w:gridCol w:w="899"/>
        <w:gridCol w:w="739"/>
      </w:tblGrid>
      <w:tr w14:paraId="0D46B6B3">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4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1D020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序号</w:t>
            </w:r>
          </w:p>
        </w:tc>
        <w:tc>
          <w:tcPr>
            <w:tcW w:w="862"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EB464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核心产品（“△”）</w:t>
            </w:r>
          </w:p>
        </w:tc>
        <w:tc>
          <w:tcPr>
            <w:tcW w:w="685"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96858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品目名称</w:t>
            </w:r>
          </w:p>
        </w:tc>
        <w:tc>
          <w:tcPr>
            <w:tcW w:w="95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278AB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标的名称</w:t>
            </w:r>
          </w:p>
        </w:tc>
        <w:tc>
          <w:tcPr>
            <w:tcW w:w="48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1DD27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单位</w:t>
            </w:r>
          </w:p>
        </w:tc>
        <w:tc>
          <w:tcPr>
            <w:tcW w:w="71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325FB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数量</w:t>
            </w:r>
          </w:p>
        </w:tc>
        <w:tc>
          <w:tcPr>
            <w:tcW w:w="153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EB2C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分项预算单价（元）</w:t>
            </w:r>
          </w:p>
        </w:tc>
        <w:tc>
          <w:tcPr>
            <w:tcW w:w="153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EA21C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分项预算总价（元）</w:t>
            </w:r>
          </w:p>
        </w:tc>
        <w:tc>
          <w:tcPr>
            <w:tcW w:w="8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97246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所属行业</w:t>
            </w:r>
          </w:p>
        </w:tc>
        <w:tc>
          <w:tcPr>
            <w:tcW w:w="71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77A42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0"/>
                <w:szCs w:val="20"/>
                <w:highlight w:val="none"/>
              </w:rPr>
            </w:pPr>
            <w:r>
              <w:rPr>
                <w:rFonts w:hint="eastAsia" w:ascii="宋体" w:hAnsi="宋体" w:eastAsia="宋体" w:cs="宋体"/>
                <w:b/>
                <w:bCs/>
                <w:i w:val="0"/>
                <w:iCs w:val="0"/>
                <w:color w:val="auto"/>
                <w:kern w:val="0"/>
                <w:sz w:val="20"/>
                <w:szCs w:val="20"/>
                <w:highlight w:val="none"/>
                <w:lang w:val="en-US" w:eastAsia="zh-CN" w:bidi="ar"/>
              </w:rPr>
              <w:t>技术要求</w:t>
            </w:r>
          </w:p>
        </w:tc>
      </w:tr>
      <w:tr w14:paraId="585FAB7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5804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w:t>
            </w:r>
          </w:p>
        </w:tc>
        <w:tc>
          <w:tcPr>
            <w:tcW w:w="8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25BE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0"/>
                <w:szCs w:val="20"/>
                <w:highlight w:val="none"/>
              </w:rPr>
            </w:pPr>
          </w:p>
        </w:tc>
        <w:tc>
          <w:tcPr>
            <w:tcW w:w="68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1CAB4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
              </w:rPr>
              <w:t>其他林业服务</w:t>
            </w:r>
          </w:p>
        </w:tc>
        <w:tc>
          <w:tcPr>
            <w:tcW w:w="95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2295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
              </w:rPr>
              <w:t>林草湿变化图斑提取及数据对接技术服务</w:t>
            </w:r>
          </w:p>
        </w:tc>
        <w:tc>
          <w:tcPr>
            <w:tcW w:w="48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66F4FB39">
            <w:pPr>
              <w:spacing w:line="360" w:lineRule="auto"/>
              <w:ind w:left="0" w:leftChars="0" w:right="0" w:rightChars="0"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Hans"/>
              </w:rPr>
              <w:t>项</w:t>
            </w:r>
          </w:p>
        </w:tc>
        <w:tc>
          <w:tcPr>
            <w:tcW w:w="71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7F4A04DA">
            <w:pPr>
              <w:spacing w:line="360" w:lineRule="auto"/>
              <w:ind w:left="0" w:leftChars="0" w:right="0" w:rightChars="0"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Hans"/>
              </w:rPr>
              <w:t>1.00</w:t>
            </w:r>
          </w:p>
        </w:tc>
        <w:tc>
          <w:tcPr>
            <w:tcW w:w="153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37CD92E2">
            <w:pPr>
              <w:spacing w:line="36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1,130,000.00</w:t>
            </w:r>
          </w:p>
        </w:tc>
        <w:tc>
          <w:tcPr>
            <w:tcW w:w="153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0429ACD2">
            <w:pPr>
              <w:spacing w:line="36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1,130,000.00</w:t>
            </w:r>
          </w:p>
        </w:tc>
        <w:tc>
          <w:tcPr>
            <w:tcW w:w="8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3BDC1ACD">
            <w:pPr>
              <w:spacing w:line="360" w:lineRule="auto"/>
              <w:ind w:left="0" w:leftChars="0" w:right="0" w:rightChars="0"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Hans"/>
              </w:rPr>
              <w:t>其他未列明行业</w:t>
            </w:r>
          </w:p>
        </w:tc>
        <w:tc>
          <w:tcPr>
            <w:tcW w:w="71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8B43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详见附表一</w:t>
            </w:r>
          </w:p>
        </w:tc>
      </w:tr>
    </w:tbl>
    <w:p w14:paraId="6DF474DE">
      <w:pPr>
        <w:rPr>
          <w:rFonts w:ascii="Calibri" w:hAnsi="Calibri" w:eastAsia="宋体" w:cs="宋体"/>
          <w:color w:val="auto"/>
          <w:highlight w:val="none"/>
          <w:shd w:val="clear" w:color="auto" w:fill="FFFFFF"/>
        </w:rPr>
      </w:pPr>
    </w:p>
    <w:p w14:paraId="4C48CB83">
      <w:pPr>
        <w:widowControl/>
        <w:spacing w:before="0" w:beforeAutospacing="0" w:after="0" w:afterAutospacing="0"/>
        <w:jc w:val="left"/>
        <w:outlineLvl w:val="3"/>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附表一：</w:t>
      </w:r>
      <w:r>
        <w:rPr>
          <w:rFonts w:hint="default" w:ascii="宋体" w:hAnsi="宋体" w:eastAsia="宋体" w:cs="宋体"/>
          <w:b/>
          <w:bCs/>
          <w:color w:val="auto"/>
          <w:kern w:val="0"/>
          <w:sz w:val="24"/>
          <w:szCs w:val="24"/>
          <w:highlight w:val="none"/>
          <w:shd w:val="clear" w:color="auto" w:fill="FFFFFF"/>
          <w:lang w:val="en-US" w:eastAsia="zh-CN" w:bidi="ar"/>
        </w:rPr>
        <w:t>林草湿变化图斑提取及数据对接技术服务</w:t>
      </w:r>
    </w:p>
    <w:tbl>
      <w:tblPr>
        <w:tblStyle w:val="3"/>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0"/>
        <w:gridCol w:w="804"/>
        <w:gridCol w:w="7174"/>
      </w:tblGrid>
      <w:tr w14:paraId="20891A64">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849"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6FAC16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参数性质</w:t>
            </w:r>
          </w:p>
        </w:tc>
        <w:tc>
          <w:tcPr>
            <w:tcW w:w="77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B4AC628">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6921"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6A05AB6F">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具体技术(参数)要求</w:t>
            </w:r>
          </w:p>
        </w:tc>
      </w:tr>
      <w:tr w14:paraId="5ADF23DF">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8BF1C4">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410144B">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highlight w:val="none"/>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727256">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Hans"/>
              </w:rPr>
              <w:t>一、项目</w:t>
            </w:r>
            <w:r>
              <w:rPr>
                <w:rFonts w:hint="eastAsia" w:ascii="宋体" w:hAnsi="宋体" w:eastAsia="宋体" w:cs="宋体"/>
                <w:b/>
                <w:color w:val="auto"/>
                <w:sz w:val="24"/>
                <w:szCs w:val="24"/>
                <w:highlight w:val="none"/>
                <w:lang w:val="en-US" w:eastAsia="zh-CN"/>
              </w:rPr>
              <w:t>背景</w:t>
            </w:r>
          </w:p>
          <w:p w14:paraId="433A28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为贯彻落实习近平总书记生态文明建设思想精神，履行“两统一”职责，为逐步实现山水林田湖草整体保护、系统修复、综合治理提供基础支撑，开展林草湿监测旨在全面查清我省林草湿资源现状和变化情况，掌握详实的自然资源基础数据和动态变化情况，为科学开展林草湿生态系统保护修复、监督管理、林长制督查考核、实施碳达峰碳中和战略、实现林草事业高质量发展等提供决策支撑。</w:t>
            </w:r>
          </w:p>
        </w:tc>
      </w:tr>
      <w:tr w14:paraId="7F9B9720">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24FC5C">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BCC7180">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950FF6E">
            <w:pPr>
              <w:spacing w:line="360" w:lineRule="auto"/>
              <w:jc w:val="both"/>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二、工作目的</w:t>
            </w:r>
          </w:p>
          <w:p w14:paraId="785586DE">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利用卫星遥感和智能化技术，对全省森林、湿地、红树林、自然保护地等进行定期监测，发现地表植被变化、建设活动等自然演变及人类活动痕迹,实现林草湿遥感变化图斑统筹管理。通过提取变化地块的空间位置、面积、所在功能分区等关键信息，清晰掌握关注区域内各类地表变动情况，为针对性监管和保护提供数据支撑。</w:t>
            </w:r>
          </w:p>
        </w:tc>
      </w:tr>
      <w:tr w14:paraId="3902D6D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368B8B">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0C53371">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1DC3A24">
            <w:pPr>
              <w:spacing w:line="360" w:lineRule="auto"/>
              <w:jc w:val="both"/>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三、工作依据</w:t>
            </w:r>
          </w:p>
          <w:p w14:paraId="7B5EF584">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1.《中华人民共和国森林法》（2019年修订）</w:t>
            </w:r>
          </w:p>
          <w:p w14:paraId="77F32B57">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2.《中华人民共和国草原法》（2021年修正）</w:t>
            </w:r>
          </w:p>
          <w:p w14:paraId="49FD4D78">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3.《中华人民共和国湿地保护法》（2022年）</w:t>
            </w:r>
          </w:p>
          <w:p w14:paraId="7E58EB9A">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4.《中华人民共和国预算法》</w:t>
            </w:r>
          </w:p>
          <w:p w14:paraId="2845325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5.《自然资源数字化治理能力提升总体方案》（自然资发〔2024〕33号）</w:t>
            </w:r>
          </w:p>
          <w:p w14:paraId="09303F7F">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6.《国家林业和草原局关于促进林业和草原人工智能发展的指导意见》（林信发〔2019〕105号）</w:t>
            </w:r>
          </w:p>
          <w:p w14:paraId="424CFCB0">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7.《广东省林业政务信息化建设规划（2022-2025年）》（粤林函〔2022〕152号）</w:t>
            </w:r>
          </w:p>
          <w:p w14:paraId="7C43452B">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8.《广东省数字政府改革建设“十四五”规划》（粤府〔2021〕44号）</w:t>
            </w:r>
          </w:p>
          <w:p w14:paraId="019613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highlight w:val="none"/>
              </w:rPr>
            </w:pPr>
            <w:r>
              <w:rPr>
                <w:rFonts w:hint="eastAsia" w:ascii="宋体" w:hAnsi="宋体" w:eastAsia="宋体" w:cs="宋体"/>
                <w:color w:val="auto"/>
                <w:sz w:val="24"/>
                <w:szCs w:val="24"/>
                <w:highlight w:val="none"/>
                <w:lang w:val="en-US" w:eastAsia="zh-CN"/>
              </w:rPr>
              <w:t>9.《自然资源部办公厅 国家林业和草原局办公室关于开展2025年度全国国土变更调查及森林草原湿地荒漠调查监测工作的通知》（自然资办发〔2025〕33号）</w:t>
            </w:r>
          </w:p>
        </w:tc>
      </w:tr>
      <w:tr w14:paraId="669FA4F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853323">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B980322">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9F26FC">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四、工作内容</w:t>
            </w:r>
          </w:p>
          <w:p w14:paraId="1C097B23">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（一）森林资源遥感监测</w:t>
            </w:r>
          </w:p>
          <w:p w14:paraId="2AC356D3">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1.林地变化监测</w:t>
            </w:r>
          </w:p>
          <w:p w14:paraId="6E87B831">
            <w:pPr>
              <w:spacing w:line="360" w:lineRule="auto"/>
              <w:jc w:val="both"/>
              <w:rPr>
                <w:rFonts w:hint="eastAsia" w:ascii="宋体" w:hAnsi="宋体" w:eastAsia="宋体" w:cs="宋体"/>
                <w:color w:val="auto"/>
                <w:sz w:val="24"/>
                <w:szCs w:val="24"/>
                <w:highlight w:val="none"/>
                <w:lang w:val="en-US" w:eastAsia="zh-CN"/>
              </w:rPr>
            </w:pPr>
            <w:bookmarkStart w:id="0" w:name="OLE_LINK10"/>
            <w:bookmarkStart w:id="1" w:name="OLE_LINK8"/>
            <w:r>
              <w:rPr>
                <w:rFonts w:hint="eastAsia" w:ascii="宋体" w:hAnsi="宋体" w:eastAsia="宋体" w:cs="宋体"/>
                <w:color w:val="auto"/>
                <w:sz w:val="24"/>
                <w:szCs w:val="24"/>
                <w:highlight w:val="none"/>
                <w:lang w:val="en-US" w:eastAsia="zh-CN"/>
              </w:rPr>
              <w:t>以最新林草湿荒普查标记林地、草地管理类型为基础</w:t>
            </w:r>
            <w:bookmarkEnd w:id="0"/>
            <w:r>
              <w:rPr>
                <w:rFonts w:hint="eastAsia" w:ascii="宋体" w:hAnsi="宋体" w:eastAsia="宋体" w:cs="宋体"/>
                <w:color w:val="auto"/>
                <w:sz w:val="24"/>
                <w:szCs w:val="24"/>
                <w:highlight w:val="none"/>
                <w:lang w:val="en-US" w:eastAsia="zh-CN"/>
              </w:rPr>
              <w:t>，结合“天空</w:t>
            </w:r>
            <w:bookmarkEnd w:id="1"/>
            <w:r>
              <w:rPr>
                <w:rFonts w:hint="eastAsia" w:ascii="宋体" w:hAnsi="宋体" w:eastAsia="宋体" w:cs="宋体"/>
                <w:color w:val="auto"/>
                <w:sz w:val="24"/>
                <w:szCs w:val="24"/>
                <w:highlight w:val="none"/>
                <w:lang w:val="en-US" w:eastAsia="zh-CN"/>
              </w:rPr>
              <w:t>地网”综合感知数据，实时发现变化图斑，动态掌握全省林草工作边界范围内的资源变化；开展变化图斑人工校验，一年四次，每季度定期提供变化图斑。</w:t>
            </w:r>
          </w:p>
          <w:p w14:paraId="3908BF09">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（二）湿地资源遥感监测</w:t>
            </w:r>
          </w:p>
          <w:p w14:paraId="445D21F8">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1.红树林保护监测</w:t>
            </w:r>
          </w:p>
          <w:p w14:paraId="5AFFB9A9">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（1）红树林样本的采集与训练，采用“采集-训练-解译-采集”的闭环生产模式，采集、优化省域范围内的红树林识别样本。</w:t>
            </w:r>
          </w:p>
          <w:p w14:paraId="432FE78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（2）根据模型和监测范围，对变化图斑进行自动提取，每年提取6次，同时结合需求开展人工校核。</w:t>
            </w:r>
          </w:p>
          <w:p w14:paraId="24B1E38C">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2.其他湿地遥感监测</w:t>
            </w:r>
          </w:p>
          <w:p w14:paraId="1E1319DB">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以国土三调七类湿地及林业部门的湿地口径为基础，每年提取2次，掌握其变化情况。</w:t>
            </w:r>
          </w:p>
          <w:p w14:paraId="682877C6">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（三）自然保护地遥感监测</w:t>
            </w:r>
          </w:p>
          <w:p w14:paraId="0E5F62F0">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（1）构建自然保护地智能解译样本库，通过“采集-训练-解译-采集”的闭环生产模式，持续采集和优化自然保护地范围内的林地变化样本，并利用人工校核结果及时更新样本库。</w:t>
            </w:r>
          </w:p>
          <w:p w14:paraId="7A60329A">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（2）利用自然保护地前后两期高分辨率遥感影像提取新增和扩大规模的人类活动图斑，结合人机交互模式开展预判，每年提取2次。</w:t>
            </w:r>
          </w:p>
          <w:p w14:paraId="0515C7FC">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（四）林业高分辨率遥感影像服务</w:t>
            </w:r>
          </w:p>
          <w:p w14:paraId="6E50E549">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针对2026年广东省范围内4期高分辨率遥感影像切片，开展汇集、质检、发布、上线与共享，为各项监测工作提供影像数据参考，提升林业遥感服务能力，支撑工作有序推进。</w:t>
            </w:r>
          </w:p>
          <w:p w14:paraId="5F3C4B39">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（五）平台对接及成果共享服务</w:t>
            </w:r>
          </w:p>
          <w:p w14:paraId="76F39F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利用数字林业数据支撑中心的汇聚与共享功能，实现疑似林草湿综合监测变化任务图斑推送至林业遥感监测系统；实现从林业遥感监测系统接收相关任务的外业及审核成果；构建分布式照片云仓库，支持遥感系统调取核查点位的实地照片证据链，并通过智能标签关联地理位置、时间戳与图斑属性信息；实现标准化接口运行状态的日常监控，及时处理图斑推送中断等异常。</w:t>
            </w:r>
          </w:p>
        </w:tc>
      </w:tr>
      <w:tr w14:paraId="1046897F">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1E346D">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712555E">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40F05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五、质量管理及安全保障要求</w:t>
            </w:r>
          </w:p>
          <w:p w14:paraId="33398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（一）质量管理</w:t>
            </w:r>
          </w:p>
          <w:p w14:paraId="40AD13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本项目要求制定一套质量保证方案，方案需包含但不限于以下3项内容：（1）内部质量管理制度；（2）成果质量保障措施；（3）质量应急预案。确保项目符合既定标准及预期质量要求。具体包括：</w:t>
            </w:r>
          </w:p>
          <w:p w14:paraId="506686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（1）建立健全的质量管理体系，建立质量管理目标，严格按照要求管理各个工作环节。</w:t>
            </w:r>
          </w:p>
          <w:p w14:paraId="4382DD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（2）建立质量保障组织架构，质量管理团队负责全流程质量审核、过程监督及问题整改。</w:t>
            </w:r>
          </w:p>
          <w:p w14:paraId="5A033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（3）建立质量控制措施，对影响关键质量的环节及阶段工作成果进行及时有效的检查。</w:t>
            </w:r>
          </w:p>
          <w:p w14:paraId="152166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（二）安全保障</w:t>
            </w:r>
          </w:p>
          <w:p w14:paraId="464614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（1）供应商应严格遵守国家法律法规。项目在实施过程中，必须严格遵守国家关于自然资源调查方面的法律法规，确保所有活动都在法律允许的范围内进行，建立健全安全保障机制并提供应对措施。</w:t>
            </w:r>
          </w:p>
          <w:p w14:paraId="4C1001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（2）供应商须就本项目制定一套项目安全保障方案，方案需包含但不限于以下3项内容：1）安全保障措施；2）项目保密管理制度；3）项目风险管理措施。</w:t>
            </w:r>
          </w:p>
        </w:tc>
      </w:tr>
      <w:tr w14:paraId="3A291BB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E762E3C">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FA026C">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68CA4D">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val="en-US" w:eastAsia="zh-Hans"/>
              </w:rPr>
              <w:t>、项目实施人员要求</w:t>
            </w:r>
          </w:p>
          <w:p w14:paraId="18109E57">
            <w:pPr>
              <w:spacing w:line="360" w:lineRule="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1.本项目需配备1名项目负责人和1名技术负责人。拟投入项目负责人和技术负责人应具有</w:t>
            </w:r>
            <w:r>
              <w:rPr>
                <w:rFonts w:hint="eastAsia" w:ascii="宋体" w:hAnsi="宋体" w:eastAsia="宋体" w:cs="宋体"/>
                <w:color w:val="auto"/>
                <w:sz w:val="24"/>
                <w:szCs w:val="24"/>
                <w:highlight w:val="none"/>
                <w:lang w:val="en-US" w:eastAsia="zh-CN"/>
              </w:rPr>
              <w:t>林业类或</w:t>
            </w:r>
            <w:r>
              <w:rPr>
                <w:rFonts w:hint="eastAsia" w:ascii="宋体" w:hAnsi="宋体" w:eastAsia="宋体" w:cs="宋体"/>
                <w:color w:val="auto"/>
                <w:sz w:val="24"/>
                <w:szCs w:val="24"/>
                <w:highlight w:val="none"/>
                <w:lang w:val="en-US" w:eastAsia="zh-Hans"/>
              </w:rPr>
              <w:t>国土类或测绘类高级职称，同时具有较强的组织和协调能力，有较高的理论素养和分析解决问题的能力，项目负责人需具有担任过自然资源调查监测领域相关项目的项目负责人工作经验。技术负责人需具有自然资源调查监测领域相关项目的工作经验。项目负责人和技术负责人须是该项目实施全过程的真正组织者和指导者，担负实质性工作，挂名或不担负实质性工作的人不得作为项目负责人和技术负责人参与本项目。</w:t>
            </w:r>
          </w:p>
          <w:p w14:paraId="3F0B58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2.拟投入项目团队成员（项目负责人、技术负责人除外）不少于25人，均需具有</w:t>
            </w:r>
            <w:r>
              <w:rPr>
                <w:rFonts w:hint="eastAsia" w:ascii="宋体" w:hAnsi="宋体" w:eastAsia="宋体" w:cs="宋体"/>
                <w:color w:val="auto"/>
                <w:sz w:val="24"/>
                <w:szCs w:val="24"/>
                <w:highlight w:val="none"/>
                <w:lang w:val="en-US" w:eastAsia="zh-CN"/>
              </w:rPr>
              <w:t>林业类或</w:t>
            </w:r>
            <w:r>
              <w:rPr>
                <w:rFonts w:hint="eastAsia" w:ascii="宋体" w:hAnsi="宋体" w:eastAsia="宋体" w:cs="宋体"/>
                <w:color w:val="auto"/>
                <w:sz w:val="24"/>
                <w:szCs w:val="24"/>
                <w:highlight w:val="none"/>
                <w:lang w:val="en-US" w:eastAsia="zh-Hans"/>
              </w:rPr>
              <w:t>国土类或测绘类初级或以上职称。</w:t>
            </w:r>
          </w:p>
        </w:tc>
      </w:tr>
      <w:tr w14:paraId="2EE80EB1">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16A12A3">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1C4ABB">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8BE8F5">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进度控制</w:t>
            </w:r>
          </w:p>
          <w:p w14:paraId="1F1B4B5C">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1.协助采购人进行服务项目周期总进度目标的分析、论证，制定图斑提取与整理推送的总体进度计划。</w:t>
            </w:r>
          </w:p>
          <w:p w14:paraId="63FB6F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2.发现服务项目未能按计划进行时，要求服务方调整或修改计划，采取必要措施加快服务进度，以使项目进度符合合同的要求。</w:t>
            </w:r>
          </w:p>
        </w:tc>
      </w:tr>
      <w:tr w14:paraId="4D9E4EE3">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1A3257">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CA4174">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17246E5">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lang w:val="en-US" w:eastAsia="zh-Hans"/>
              </w:rPr>
              <w:t>、提交成果</w:t>
            </w:r>
          </w:p>
          <w:p w14:paraId="6818C525">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1.</w:t>
            </w:r>
            <w:r>
              <w:rPr>
                <w:rFonts w:hint="eastAsia" w:ascii="宋体" w:hAnsi="宋体" w:eastAsia="宋体" w:cs="宋体"/>
                <w:color w:val="auto"/>
                <w:kern w:val="0"/>
                <w:sz w:val="24"/>
                <w:szCs w:val="24"/>
                <w:highlight w:val="none"/>
                <w:lang w:val="en-US" w:eastAsia="zh-CN" w:bidi="ar-SA"/>
              </w:rPr>
              <w:t>广东省林草湿变化图斑提取数据集（GDB格式，1套）</w:t>
            </w:r>
            <w:r>
              <w:rPr>
                <w:rFonts w:hint="eastAsia" w:ascii="宋体" w:hAnsi="宋体" w:eastAsia="宋体" w:cs="宋体"/>
                <w:color w:val="auto"/>
                <w:sz w:val="24"/>
                <w:szCs w:val="24"/>
                <w:highlight w:val="none"/>
                <w:lang w:val="en-US" w:eastAsia="zh-Hans"/>
              </w:rPr>
              <w:t>；</w:t>
            </w:r>
          </w:p>
          <w:p w14:paraId="0DC8AC62">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2.广东省红树林识别样本集、林地变化样本集</w:t>
            </w:r>
            <w:r>
              <w:rPr>
                <w:rFonts w:hint="eastAsia" w:ascii="宋体" w:hAnsi="宋体" w:eastAsia="宋体" w:cs="宋体"/>
                <w:color w:val="auto"/>
                <w:kern w:val="0"/>
                <w:sz w:val="24"/>
                <w:szCs w:val="24"/>
                <w:highlight w:val="none"/>
                <w:lang w:val="en-US" w:eastAsia="zh-CN" w:bidi="ar-SA"/>
              </w:rPr>
              <w:t>（GDB格式，1套）</w:t>
            </w:r>
            <w:r>
              <w:rPr>
                <w:rFonts w:hint="eastAsia" w:ascii="宋体" w:hAnsi="宋体" w:eastAsia="宋体" w:cs="宋体"/>
                <w:color w:val="auto"/>
                <w:sz w:val="24"/>
                <w:szCs w:val="24"/>
                <w:highlight w:val="none"/>
                <w:lang w:val="en-US" w:eastAsia="zh-Hans"/>
              </w:rPr>
              <w:t>；</w:t>
            </w:r>
          </w:p>
          <w:p w14:paraId="719A0B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kern w:val="0"/>
                <w:sz w:val="24"/>
                <w:szCs w:val="24"/>
                <w:highlight w:val="none"/>
                <w:lang w:val="en-US" w:eastAsia="zh-CN" w:bidi="ar-SA"/>
              </w:rPr>
              <w:t>广东省林草湿变化图斑提取</w:t>
            </w:r>
            <w:r>
              <w:rPr>
                <w:rFonts w:hint="eastAsia" w:ascii="宋体" w:hAnsi="宋体" w:eastAsia="宋体" w:cs="宋体"/>
                <w:color w:val="auto"/>
                <w:sz w:val="24"/>
                <w:szCs w:val="24"/>
                <w:highlight w:val="none"/>
                <w:lang w:val="en-US" w:eastAsia="zh-Hans"/>
              </w:rPr>
              <w:t>及数据对接</w:t>
            </w:r>
            <w:r>
              <w:rPr>
                <w:rFonts w:hint="eastAsia" w:ascii="宋体" w:hAnsi="宋体" w:eastAsia="宋体" w:cs="宋体"/>
                <w:color w:val="auto"/>
                <w:sz w:val="24"/>
                <w:szCs w:val="24"/>
                <w:highlight w:val="none"/>
                <w:lang w:val="en-US" w:eastAsia="zh-CN"/>
              </w:rPr>
              <w:t>服务工作</w:t>
            </w:r>
            <w:r>
              <w:rPr>
                <w:rFonts w:hint="eastAsia" w:ascii="宋体" w:hAnsi="宋体" w:eastAsia="宋体" w:cs="宋体"/>
                <w:color w:val="auto"/>
                <w:kern w:val="0"/>
                <w:sz w:val="24"/>
                <w:szCs w:val="24"/>
                <w:highlight w:val="none"/>
                <w:lang w:val="en-US" w:eastAsia="zh-CN" w:bidi="ar-SA"/>
              </w:rPr>
              <w:t>报告</w:t>
            </w:r>
            <w:r>
              <w:rPr>
                <w:rFonts w:hint="eastAsia" w:ascii="宋体" w:hAnsi="宋体" w:eastAsia="宋体" w:cs="宋体"/>
                <w:color w:val="auto"/>
                <w:sz w:val="24"/>
                <w:szCs w:val="24"/>
                <w:highlight w:val="none"/>
                <w:lang w:val="en-US" w:eastAsia="zh-CN"/>
              </w:rPr>
              <w:t>（doc和pdf，各1份）。</w:t>
            </w:r>
          </w:p>
        </w:tc>
      </w:tr>
      <w:tr w14:paraId="226821B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2AE106">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DC2F3D3">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5FD2C89">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lang w:val="en-US" w:eastAsia="zh-Hans"/>
              </w:rPr>
              <w:t>、后续跟踪服务要求</w:t>
            </w:r>
          </w:p>
          <w:p w14:paraId="790D67A6">
            <w:pPr>
              <w:spacing w:line="360" w:lineRule="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1.售后服务要求：</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应为采购人作技术支持，并培训采购人相关技术人员掌握项目工作的方法。</w:t>
            </w:r>
          </w:p>
          <w:p w14:paraId="6D0FABC2">
            <w:pPr>
              <w:spacing w:line="360" w:lineRule="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2.提供标准电话技术支持（5×8小时）。对采购人的服务通知，</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在接报后30分钟内响应，8小时内到达现场并处理完毕。若8小时内仍未处理完毕，</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必须免费采取应急措施解决，不得影响采购人的正常工作业务，除特殊情况外，故障排除时间不超过12小时。</w:t>
            </w:r>
          </w:p>
          <w:p w14:paraId="7467D7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3.售后服务：完成全部成果并验收合格后，提供半年的跟踪服务。</w:t>
            </w:r>
          </w:p>
        </w:tc>
      </w:tr>
      <w:tr w14:paraId="2C3C605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FDDEEAC">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310CB53">
            <w:pPr>
              <w:keepNext w:val="0"/>
              <w:keepLines w:val="0"/>
              <w:pageBreakBefore w:val="0"/>
              <w:widowControl/>
              <w:numPr>
                <w:ilvl w:val="0"/>
                <w:numId w:val="1"/>
              </w:numPr>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CB29D9">
            <w:pPr>
              <w:spacing w:line="360" w:lineRule="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lang w:val="en-US" w:eastAsia="zh-Hans"/>
              </w:rPr>
              <w:t>、其他要求</w:t>
            </w:r>
          </w:p>
          <w:p w14:paraId="54D5D7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如遇政策要求（国家和省级林草主管部门政策变化或技术指南更新）导致服务内容有所变动的，</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需无条件按采购人最新要求执行。</w:t>
            </w:r>
            <w:r>
              <w:rPr>
                <w:rFonts w:hint="eastAsia" w:ascii="宋体" w:hAnsi="宋体" w:eastAsia="宋体" w:cs="宋体"/>
                <w:b/>
                <w:color w:val="auto"/>
                <w:sz w:val="24"/>
                <w:szCs w:val="24"/>
                <w:highlight w:val="none"/>
                <w:lang w:val="en-US" w:eastAsia="zh-Hans"/>
              </w:rPr>
              <w:t>[提供承诺函(格式自拟）并加盖响应供应商公章，其他情况或不提供的视为不满足]</w:t>
            </w:r>
          </w:p>
        </w:tc>
      </w:tr>
      <w:tr w14:paraId="7293B9B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A565A0">
            <w:pPr>
              <w:keepNext w:val="0"/>
              <w:keepLines w:val="0"/>
              <w:pageBreakBefore w:val="0"/>
              <w:widowControl/>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说明</w:t>
            </w:r>
          </w:p>
        </w:tc>
        <w:tc>
          <w:tcPr>
            <w:tcW w:w="7697" w:type="dxa"/>
            <w:gridSpan w:val="2"/>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5B6ABA">
            <w:pPr>
              <w:keepNext w:val="0"/>
              <w:keepLines w:val="0"/>
              <w:pageBreakBefore w:val="0"/>
              <w:widowControl/>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打“★”号条款为实质性条款，若有任何一条负偏离或不满足则导致投标（响应）无效。</w:t>
            </w:r>
          </w:p>
          <w:p w14:paraId="039D4CB1">
            <w:pPr>
              <w:keepNext w:val="0"/>
              <w:keepLines w:val="0"/>
              <w:pageBreakBefore w:val="0"/>
              <w:widowControl/>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打“▲”号条款为重要技术参数（如有），若有部分“▲”条款未响应或不满足，将根据评审要求影响其得分，但不作为无效投标（响应）条款。</w:t>
            </w:r>
          </w:p>
        </w:tc>
      </w:tr>
    </w:tbl>
    <w:p w14:paraId="010F331D">
      <w:pPr>
        <w:rPr>
          <w:rFonts w:hint="eastAsia" w:eastAsiaTheme="minorEastAsia"/>
          <w:lang w:val="en-US" w:eastAsia="zh-CN"/>
        </w:rPr>
      </w:pPr>
      <w:bookmarkStart w:id="2" w:name="_GoBack"/>
      <w:bookmarkEnd w:id="2"/>
    </w:p>
    <w:sectPr>
      <w:pgSz w:w="11906" w:h="16838"/>
      <w:pgMar w:top="1440" w:right="1644"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81648"/>
    <w:multiLevelType w:val="singleLevel"/>
    <w:tmpl w:val="75C81648"/>
    <w:lvl w:ilvl="0" w:tentative="0">
      <w:start w:val="1"/>
      <w:numFmt w:val="decimal"/>
      <w:suff w:val="nothing"/>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E1D94"/>
    <w:rsid w:val="2FB31E38"/>
    <w:rsid w:val="35D57672"/>
    <w:rsid w:val="3FEA5E77"/>
    <w:rsid w:val="45C34A52"/>
    <w:rsid w:val="788E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7775</Words>
  <Characters>8060</Characters>
  <Lines>0</Lines>
  <Paragraphs>0</Paragraphs>
  <TotalTime>0</TotalTime>
  <ScaleCrop>false</ScaleCrop>
  <LinksUpToDate>false</LinksUpToDate>
  <CharactersWithSpaces>8066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Administrator</dc:creator>
  <cp:lastModifiedBy>Sweetheart</cp:lastModifiedBy>
  <dcterms:modified xsi:type="dcterms:W3CDTF">2026-05-20T10:45:39Z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eyJoZGlkIjoiYzY5ZDE0YWYyMjAzMzNhMzAyODg5NDQzZjNkN2IzNzkiLCJ1c2VySWQiOiI0NjQ0MjU1NDQifQ==</vt:lpwstr>
  </property>
  <property fmtid="{D5CDD505-2E9C-101B-9397-08002B2CF9AE}" pid="4" name="ICV">
    <vt:lpwstr>5EA38F53B5E4411E9013F69651D2FAE0_12</vt:lpwstr>
  </property>
</Properties>
</file>