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6420D">
      <w:pPr>
        <w:ind w:left="0" w:leftChars="0" w:right="0" w:rightChars="0" w:firstLine="0" w:firstLineChars="0"/>
        <w:jc w:val="center"/>
        <w:rPr>
          <w:rFonts w:hint="eastAsia"/>
          <w:b/>
          <w:sz w:val="28"/>
          <w:szCs w:val="28"/>
          <w:lang w:eastAsia="zh-CN"/>
        </w:rPr>
      </w:pPr>
      <w:r>
        <w:rPr>
          <w:rFonts w:hint="eastAsia"/>
          <w:b/>
          <w:sz w:val="28"/>
          <w:szCs w:val="28"/>
          <w:lang w:eastAsia="zh-CN"/>
        </w:rPr>
        <w:t>广东省森林资源规划设计调查试点技术服务（2026年）</w:t>
      </w:r>
      <w:r>
        <w:rPr>
          <w:rFonts w:hint="eastAsia" w:eastAsiaTheme="minorEastAsia"/>
          <w:b/>
          <w:sz w:val="28"/>
          <w:szCs w:val="28"/>
          <w:lang w:eastAsia="zh-CN"/>
        </w:rPr>
        <w:t>采购需求征集内容</w:t>
      </w:r>
    </w:p>
    <w:p w14:paraId="607BB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outlineLvl w:val="2"/>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一、项目概况：</w:t>
      </w:r>
    </w:p>
    <w:p w14:paraId="7DF382D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pacing w:val="10"/>
          <w:sz w:val="24"/>
          <w:szCs w:val="24"/>
          <w:highlight w:val="none"/>
        </w:rPr>
        <w:t>有关说明：</w:t>
      </w:r>
    </w:p>
    <w:p w14:paraId="5B4B859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2"/>
          <w:sz w:val="24"/>
          <w:szCs w:val="24"/>
          <w:highlight w:val="none"/>
        </w:rPr>
        <w:t>投标人须对本项目的采购标的进行整体投标，任何只对本项目采购标的其中一部分内容、数量进行的投标都被视为无</w:t>
      </w:r>
      <w:r>
        <w:rPr>
          <w:rFonts w:hint="eastAsia" w:ascii="宋体" w:hAnsi="宋体" w:eastAsia="宋体" w:cs="宋体"/>
          <w:color w:val="auto"/>
          <w:spacing w:val="-2"/>
          <w:sz w:val="24"/>
          <w:szCs w:val="24"/>
          <w:highlight w:val="none"/>
        </w:rPr>
        <w:t>效投标。</w:t>
      </w:r>
    </w:p>
    <w:p w14:paraId="63981E9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2.采购需求中标注“★”号条款为实质性条款，必须逐条进行响应，有任何一条负偏离的，将导致无效投标。</w:t>
      </w:r>
    </w:p>
    <w:p w14:paraId="468D87C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3.采购需求中标注“▲”号条款为重要技术参数，但不作为无效投标条款。</w:t>
      </w:r>
    </w:p>
    <w:p w14:paraId="72AB3DC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lang w:val="en-US" w:eastAsia="zh-CN"/>
        </w:rPr>
      </w:pPr>
      <w:r>
        <w:rPr>
          <w:rFonts w:hint="eastAsia" w:ascii="Calibri" w:hAnsi="Calibri" w:eastAsia="宋体" w:cs="Times New Roman"/>
          <w:color w:val="auto"/>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z w:val="24"/>
          <w:szCs w:val="24"/>
          <w:highlight w:val="none"/>
          <w:lang w:val="en-US" w:eastAsia="zh-CN"/>
        </w:rPr>
        <w:t>本章中主要商务要求中的“标的提供的时间”、“标的提供的地点”、“付款方式”、“验收要求”内容均为实质性的条款，投标供应商必须对此响应并完全满足或优于这些条款，否则将按无效投标处理。</w:t>
      </w:r>
    </w:p>
    <w:p w14:paraId="416CC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采购包1（森林资源规划设计调查试点技术服务）：</w:t>
      </w:r>
    </w:p>
    <w:p w14:paraId="4EDEF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7"/>
        <w:gridCol w:w="6080"/>
      </w:tblGrid>
      <w:tr w14:paraId="51ED1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7" w:type="dxa"/>
          </w:tcPr>
          <w:p w14:paraId="0B1FD238">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标的提供的时间</w:t>
            </w:r>
          </w:p>
        </w:tc>
        <w:tc>
          <w:tcPr>
            <w:tcW w:w="6080" w:type="dxa"/>
          </w:tcPr>
          <w:p w14:paraId="34A44124">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自</w:t>
            </w:r>
            <w:r>
              <w:rPr>
                <w:rFonts w:hint="eastAsia" w:asciiTheme="minorEastAsia" w:hAnsiTheme="minorEastAsia" w:eastAsiaTheme="minorEastAsia" w:cstheme="minorEastAsia"/>
                <w:color w:val="auto"/>
                <w:sz w:val="24"/>
                <w:szCs w:val="24"/>
                <w:lang w:val="en-US" w:eastAsia="zh-Hans"/>
              </w:rPr>
              <w:t>合同签订之日起至202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Hans"/>
              </w:rPr>
              <w:t>年10月30日前</w:t>
            </w:r>
          </w:p>
        </w:tc>
      </w:tr>
      <w:tr w14:paraId="351F1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7" w:type="dxa"/>
          </w:tcPr>
          <w:p w14:paraId="5BB0209B">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标的提供的地点</w:t>
            </w:r>
          </w:p>
        </w:tc>
        <w:tc>
          <w:tcPr>
            <w:tcW w:w="6080" w:type="dxa"/>
          </w:tcPr>
          <w:p w14:paraId="3D7F774D">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采购人指定地点</w:t>
            </w:r>
            <w:r>
              <w:rPr>
                <w:rFonts w:hint="eastAsia" w:asciiTheme="minorEastAsia" w:hAnsiTheme="minorEastAsia" w:eastAsiaTheme="minorEastAsia" w:cstheme="minorEastAsia"/>
                <w:color w:val="auto"/>
                <w:sz w:val="24"/>
                <w:szCs w:val="24"/>
                <w:lang w:val="en-US" w:eastAsia="zh-CN"/>
              </w:rPr>
              <w:t>（广东省)</w:t>
            </w:r>
            <w:r>
              <w:rPr>
                <w:rFonts w:hint="eastAsia" w:asciiTheme="minorEastAsia" w:hAnsiTheme="minorEastAsia" w:eastAsiaTheme="minorEastAsia" w:cstheme="minorEastAsia"/>
                <w:color w:val="auto"/>
                <w:sz w:val="24"/>
                <w:szCs w:val="24"/>
                <w:lang w:val="en-US" w:eastAsia="zh-Hans"/>
              </w:rPr>
              <w:t>。</w:t>
            </w:r>
          </w:p>
        </w:tc>
      </w:tr>
      <w:tr w14:paraId="5991A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7" w:type="dxa"/>
          </w:tcPr>
          <w:p w14:paraId="31F20A9E">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付款方式</w:t>
            </w:r>
          </w:p>
        </w:tc>
        <w:tc>
          <w:tcPr>
            <w:tcW w:w="6080" w:type="dxa"/>
          </w:tcPr>
          <w:p w14:paraId="411C3213">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1期：支付比例70%，签订合同后15个工作日内采购人支付合同总金额的70%。</w:t>
            </w:r>
          </w:p>
          <w:p w14:paraId="1416144D">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2期：支付比例20%，提交工作报告后15个工作日内支付合同总金额的20%。</w:t>
            </w:r>
          </w:p>
          <w:p w14:paraId="0E02AC64">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3期：支付比例10%，经采购人验收合格后15个工作日内，支付合同总金额的10%。</w:t>
            </w:r>
          </w:p>
          <w:p w14:paraId="714CF93C">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注：</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中标人凭以下有效文件与采购人结算：</w:t>
            </w:r>
            <w:r>
              <w:rPr>
                <w:rFonts w:hint="eastAsia" w:asciiTheme="minorEastAsia" w:hAnsiTheme="minorEastAsia" w:eastAsiaTheme="minorEastAsia" w:cstheme="minorEastAsia"/>
                <w:color w:val="auto"/>
                <w:sz w:val="24"/>
                <w:szCs w:val="24"/>
                <w:lang w:val="en-US" w:eastAsia="zh-CN"/>
              </w:rPr>
              <w:t>①</w:t>
            </w:r>
            <w:r>
              <w:rPr>
                <w:rFonts w:hint="eastAsia" w:asciiTheme="minorEastAsia" w:hAnsiTheme="minorEastAsia" w:eastAsiaTheme="minorEastAsia" w:cstheme="minorEastAsia"/>
                <w:color w:val="auto"/>
                <w:sz w:val="24"/>
                <w:szCs w:val="24"/>
                <w:lang w:val="en-US" w:eastAsia="zh-Hans"/>
              </w:rPr>
              <w:t>合同；</w:t>
            </w:r>
            <w:r>
              <w:rPr>
                <w:rFonts w:hint="eastAsia" w:asciiTheme="minorEastAsia" w:hAnsiTheme="minorEastAsia" w:eastAsiaTheme="minorEastAsia" w:cstheme="minorEastAsia"/>
                <w:color w:val="auto"/>
                <w:sz w:val="24"/>
                <w:szCs w:val="24"/>
                <w:lang w:val="en-US" w:eastAsia="zh-CN"/>
              </w:rPr>
              <w:t>②</w:t>
            </w:r>
            <w:r>
              <w:rPr>
                <w:rFonts w:hint="eastAsia" w:asciiTheme="minorEastAsia" w:hAnsiTheme="minorEastAsia" w:eastAsiaTheme="minorEastAsia" w:cstheme="minorEastAsia"/>
                <w:color w:val="auto"/>
                <w:sz w:val="24"/>
                <w:szCs w:val="24"/>
                <w:lang w:val="en-US" w:eastAsia="zh-Hans"/>
              </w:rPr>
              <w:t>中标人开具的正式发票；</w:t>
            </w:r>
            <w:r>
              <w:rPr>
                <w:rFonts w:hint="eastAsia" w:asciiTheme="minorEastAsia" w:hAnsiTheme="minorEastAsia" w:eastAsiaTheme="minorEastAsia" w:cstheme="minorEastAsia"/>
                <w:color w:val="auto"/>
                <w:sz w:val="24"/>
                <w:szCs w:val="24"/>
                <w:lang w:val="en-US" w:eastAsia="zh-CN"/>
              </w:rPr>
              <w:t>③</w:t>
            </w:r>
            <w:r>
              <w:rPr>
                <w:rFonts w:hint="eastAsia" w:asciiTheme="minorEastAsia" w:hAnsiTheme="minorEastAsia" w:eastAsiaTheme="minorEastAsia" w:cstheme="minorEastAsia"/>
                <w:color w:val="auto"/>
                <w:sz w:val="24"/>
                <w:szCs w:val="24"/>
                <w:lang w:val="en-US" w:eastAsia="zh-Hans"/>
              </w:rPr>
              <w:t>中标通知书。</w:t>
            </w:r>
          </w:p>
          <w:p w14:paraId="4B766A47">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51D09C33">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每次支付前，中标供应商须先提供有效的等额发票并附上有关材料给采购人，采购人收到发票后按照合同约定支付等额费用。若中标人无法按时提供有效的等额发票及有关材料，致使采购人无法及时履行支付义务，不视为采购人违约，所造成的损失由中标人承担。</w:t>
            </w:r>
          </w:p>
          <w:p w14:paraId="4E6A6106">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如项目发生合同融资，采购人应当将合同款项支付到合同约定收款账户。</w:t>
            </w:r>
          </w:p>
        </w:tc>
      </w:tr>
      <w:tr w14:paraId="7C17F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7" w:type="dxa"/>
          </w:tcPr>
          <w:p w14:paraId="11AB49E9">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验收要求</w:t>
            </w:r>
          </w:p>
        </w:tc>
        <w:tc>
          <w:tcPr>
            <w:tcW w:w="6080" w:type="dxa"/>
          </w:tcPr>
          <w:p w14:paraId="4A0E54CC">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1期：项目完成后，按要求组织相关领域专家进行技术评审验收，评审通过后方可认定完成验收</w:t>
            </w:r>
            <w:r>
              <w:rPr>
                <w:rFonts w:hint="eastAsia" w:asciiTheme="minorEastAsia" w:hAnsiTheme="minorEastAsia" w:eastAsiaTheme="minorEastAsia" w:cstheme="minorEastAsia"/>
                <w:color w:val="auto"/>
                <w:sz w:val="24"/>
                <w:szCs w:val="24"/>
                <w:lang w:val="en-US" w:eastAsia="zh-CN"/>
              </w:rPr>
              <w:t>。</w:t>
            </w:r>
          </w:p>
        </w:tc>
      </w:tr>
      <w:tr w14:paraId="4E28C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7" w:type="dxa"/>
          </w:tcPr>
          <w:p w14:paraId="6A9713AF">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履约保证金</w:t>
            </w:r>
          </w:p>
        </w:tc>
        <w:tc>
          <w:tcPr>
            <w:tcW w:w="6080" w:type="dxa"/>
          </w:tcPr>
          <w:p w14:paraId="62D849DD">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不收取</w:t>
            </w:r>
          </w:p>
        </w:tc>
      </w:tr>
      <w:tr w14:paraId="61657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7" w:type="dxa"/>
          </w:tcPr>
          <w:p w14:paraId="31091F01">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其他</w:t>
            </w:r>
          </w:p>
        </w:tc>
        <w:tc>
          <w:tcPr>
            <w:tcW w:w="6080" w:type="dxa"/>
          </w:tcPr>
          <w:p w14:paraId="716CA81F">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投标报价：（1）投标人的投标报价应已包含为完成本项目招标文件中招标内容、责任范围以及合同条款所规定的所有工作的全部费用，包括但不限于本项目设备购置费、差旅费、项目管理费、成果文件制作费用等所产生的费用。</w:t>
            </w:r>
          </w:p>
          <w:p w14:paraId="76F84F78">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（2）因国家和省级林草主管部门政策变化或技术规程更新而引起的项目调整、工作量增减及修改工作由中标人按要求完成，同时服务期可能顺延，采购人不另行支付费用。</w:t>
            </w:r>
          </w:p>
          <w:p w14:paraId="31F41584">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（3）采购人将不予支付除招标文件及承包合同约定的由采购人承担的风险因素之外的任何补偿。</w:t>
            </w:r>
          </w:p>
          <w:p w14:paraId="5881E71F">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售后服务</w:t>
            </w:r>
            <w:r>
              <w:rPr>
                <w:rFonts w:hint="eastAsia" w:asciiTheme="minorEastAsia" w:hAnsiTheme="minorEastAsia" w:eastAsiaTheme="minorEastAsia" w:cstheme="minorEastAsia"/>
                <w:color w:val="auto"/>
                <w:sz w:val="24"/>
                <w:szCs w:val="24"/>
                <w:lang w:val="en-US" w:eastAsia="zh-CN"/>
              </w:rPr>
              <w:t>：</w:t>
            </w:r>
          </w:p>
          <w:p w14:paraId="721370FE">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（1）免费质保期期限：完成全部成果并验收合格后壹年。</w:t>
            </w:r>
          </w:p>
          <w:p w14:paraId="2C318953">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（2）售后服务要求：中标人应为采购人提供相应技术支持。</w:t>
            </w:r>
          </w:p>
          <w:p w14:paraId="21FA6028">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（3）提供标准电话技术支持（7×24 小时）。对采购人的服务通知，机构在接报后 30 分钟内响应，8 小时内到达现场处理。若 8 小时内仍未处理完毕，中标人必须免费采取应急措施解决，不得影响采购人的正常工作业务，除特殊情况外，故障排除时间不超过 12 小时。</w:t>
            </w:r>
          </w:p>
        </w:tc>
      </w:tr>
    </w:tbl>
    <w:p w14:paraId="4FFA9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2.技术标准与要求</w:t>
      </w:r>
    </w:p>
    <w:tbl>
      <w:tblPr>
        <w:tblStyle w:val="4"/>
        <w:tblW w:w="5155"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894"/>
        <w:gridCol w:w="710"/>
        <w:gridCol w:w="985"/>
        <w:gridCol w:w="502"/>
        <w:gridCol w:w="742"/>
        <w:gridCol w:w="1590"/>
        <w:gridCol w:w="1589"/>
        <w:gridCol w:w="899"/>
        <w:gridCol w:w="739"/>
      </w:tblGrid>
      <w:tr w14:paraId="15CDDBF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4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0F9E1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序号</w:t>
            </w:r>
          </w:p>
        </w:tc>
        <w:tc>
          <w:tcPr>
            <w:tcW w:w="862"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20922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核心产品（“△”）</w:t>
            </w:r>
          </w:p>
        </w:tc>
        <w:tc>
          <w:tcPr>
            <w:tcW w:w="685"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0D9B5F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品目名称</w:t>
            </w:r>
          </w:p>
        </w:tc>
        <w:tc>
          <w:tcPr>
            <w:tcW w:w="95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69544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标的名称</w:t>
            </w:r>
          </w:p>
        </w:tc>
        <w:tc>
          <w:tcPr>
            <w:tcW w:w="48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E5703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单位</w:t>
            </w:r>
          </w:p>
        </w:tc>
        <w:tc>
          <w:tcPr>
            <w:tcW w:w="71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E3721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数量</w:t>
            </w:r>
          </w:p>
        </w:tc>
        <w:tc>
          <w:tcPr>
            <w:tcW w:w="153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64C558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分项预算单价（元）</w:t>
            </w:r>
          </w:p>
        </w:tc>
        <w:tc>
          <w:tcPr>
            <w:tcW w:w="153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4BF44E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分项预算总价（元）</w:t>
            </w:r>
          </w:p>
        </w:tc>
        <w:tc>
          <w:tcPr>
            <w:tcW w:w="8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8639D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所属行业</w:t>
            </w:r>
          </w:p>
        </w:tc>
        <w:tc>
          <w:tcPr>
            <w:tcW w:w="71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0EAA2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i w:val="0"/>
                <w:iCs w:val="0"/>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lang w:val="en-US" w:eastAsia="zh-CN" w:bidi="ar"/>
              </w:rPr>
              <w:t>技术要求</w:t>
            </w:r>
          </w:p>
        </w:tc>
      </w:tr>
      <w:tr w14:paraId="4FE4E28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5851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8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B187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68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6FC9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其他林业服务</w:t>
            </w:r>
          </w:p>
        </w:tc>
        <w:tc>
          <w:tcPr>
            <w:tcW w:w="95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5BCB3F">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sz w:val="21"/>
                <w:szCs w:val="21"/>
                <w:u w:val="none"/>
                <w:lang w:val="en-US" w:eastAsia="zh-CN"/>
              </w:rPr>
              <w:t>森林资源规划设计调查试点技术服务</w:t>
            </w:r>
          </w:p>
        </w:tc>
        <w:tc>
          <w:tcPr>
            <w:tcW w:w="48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887948">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项</w:t>
            </w:r>
          </w:p>
        </w:tc>
        <w:tc>
          <w:tcPr>
            <w:tcW w:w="71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A45B2B9">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1</w:t>
            </w:r>
          </w:p>
        </w:tc>
        <w:tc>
          <w:tcPr>
            <w:tcW w:w="153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42FE7B3">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sz w:val="21"/>
                <w:szCs w:val="21"/>
                <w:u w:val="none"/>
                <w:lang w:val="en-US" w:eastAsia="zh-CN"/>
              </w:rPr>
              <w:t>2,900,000.00</w:t>
            </w:r>
          </w:p>
        </w:tc>
        <w:tc>
          <w:tcPr>
            <w:tcW w:w="153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3665641">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sz w:val="21"/>
                <w:szCs w:val="21"/>
                <w:u w:val="none"/>
                <w:lang w:val="en-US" w:eastAsia="zh-CN"/>
              </w:rPr>
              <w:t>2,900,000.00</w:t>
            </w:r>
          </w:p>
        </w:tc>
        <w:tc>
          <w:tcPr>
            <w:tcW w:w="8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0211B2D">
            <w:pPr>
              <w:snapToGrid w:val="0"/>
              <w:spacing w:line="240" w:lineRule="auto"/>
              <w:ind w:left="0" w:leftChars="0" w:right="0" w:rightChars="0" w:firstLine="0" w:firstLineChars="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sz w:val="21"/>
                <w:szCs w:val="21"/>
                <w:u w:val="none"/>
                <w:lang w:val="en-US" w:eastAsia="zh-CN"/>
              </w:rPr>
              <w:t>其他未列明行业</w:t>
            </w:r>
          </w:p>
        </w:tc>
        <w:tc>
          <w:tcPr>
            <w:tcW w:w="71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5930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详见附表一</w:t>
            </w:r>
          </w:p>
        </w:tc>
      </w:tr>
    </w:tbl>
    <w:p w14:paraId="2EE79F65">
      <w:pPr>
        <w:rPr>
          <w:rFonts w:ascii="Calibri" w:hAnsi="Calibri" w:eastAsia="宋体" w:cs="宋体"/>
          <w:color w:val="auto"/>
          <w:highlight w:val="none"/>
          <w:shd w:val="clear" w:color="auto" w:fill="FFFFFF"/>
        </w:rPr>
      </w:pPr>
    </w:p>
    <w:p w14:paraId="22C35C7E">
      <w:pPr>
        <w:widowControl/>
        <w:spacing w:before="0" w:beforeAutospacing="0" w:after="0" w:afterAutospacing="0"/>
        <w:jc w:val="left"/>
        <w:outlineLvl w:val="3"/>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附表一：森林资源规划设计调查试点技术服务</w:t>
      </w:r>
    </w:p>
    <w:tbl>
      <w:tblPr>
        <w:tblStyle w:val="4"/>
        <w:tblW w:w="949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9"/>
        <w:gridCol w:w="720"/>
        <w:gridCol w:w="7423"/>
      </w:tblGrid>
      <w:tr w14:paraId="4AAFF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349" w:type="dxa"/>
            <w:vAlign w:val="center"/>
          </w:tcPr>
          <w:p w14:paraId="69068356">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参数性质</w:t>
            </w:r>
          </w:p>
        </w:tc>
        <w:tc>
          <w:tcPr>
            <w:tcW w:w="720" w:type="dxa"/>
            <w:vAlign w:val="center"/>
          </w:tcPr>
          <w:p w14:paraId="6E389487">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序号</w:t>
            </w:r>
          </w:p>
        </w:tc>
        <w:tc>
          <w:tcPr>
            <w:tcW w:w="7423" w:type="dxa"/>
            <w:vAlign w:val="center"/>
          </w:tcPr>
          <w:p w14:paraId="099C40AC">
            <w:pPr>
              <w:spacing w:line="360" w:lineRule="auto"/>
              <w:ind w:left="0" w:leftChars="0" w:right="0" w:rightChars="0" w:firstLine="0" w:firstLineChars="0"/>
              <w:jc w:val="center"/>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eastAsiaTheme="minorEastAsia" w:cstheme="minorEastAsia"/>
                <w:b w:val="0"/>
                <w:bCs w:val="0"/>
                <w:color w:val="auto"/>
                <w:sz w:val="24"/>
                <w:szCs w:val="24"/>
                <w:lang w:val="en-US" w:eastAsia="zh-Hans"/>
              </w:rPr>
              <w:t>具体技术(参数)要求</w:t>
            </w:r>
          </w:p>
        </w:tc>
      </w:tr>
      <w:tr w14:paraId="22419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2355A185">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1E4C4AC3">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1</w:t>
            </w:r>
          </w:p>
        </w:tc>
        <w:tc>
          <w:tcPr>
            <w:tcW w:w="7423" w:type="dxa"/>
            <w:vAlign w:val="center"/>
          </w:tcPr>
          <w:p w14:paraId="7F4684D2">
            <w:pPr>
              <w:spacing w:line="360" w:lineRule="auto"/>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一、</w:t>
            </w:r>
            <w:r>
              <w:rPr>
                <w:rFonts w:hint="eastAsia" w:asciiTheme="minorEastAsia" w:hAnsiTheme="minorEastAsia" w:cstheme="minorEastAsia"/>
                <w:color w:val="auto"/>
                <w:sz w:val="24"/>
                <w:szCs w:val="24"/>
                <w:lang w:val="en-US" w:eastAsia="zh-CN"/>
              </w:rPr>
              <w:t>项目内容</w:t>
            </w:r>
          </w:p>
          <w:p w14:paraId="2D55FA91">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一）工作底图制作</w:t>
            </w:r>
          </w:p>
          <w:p w14:paraId="2458534D">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数据收集与整合</w:t>
            </w:r>
          </w:p>
          <w:p w14:paraId="6EA713B9">
            <w:pPr>
              <w:numPr>
                <w:ilvl w:val="0"/>
                <w:numId w:val="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收集年度林草湿荒监测成果、国土绿化空间划定成果</w:t>
            </w:r>
          </w:p>
          <w:p w14:paraId="356A6DE0">
            <w:pPr>
              <w:numPr>
                <w:ilvl w:val="0"/>
                <w:numId w:val="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整合前期森林资源规划设计调查、森林质量精准提升落地上图资料</w:t>
            </w:r>
          </w:p>
          <w:p w14:paraId="64C383FE">
            <w:pPr>
              <w:numPr>
                <w:ilvl w:val="0"/>
                <w:numId w:val="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收集松材线虫疫木监测成果、防火林带调查成果等各项数据进行有机融合，制作统一的工作底图</w:t>
            </w:r>
          </w:p>
          <w:p w14:paraId="4E56EC55">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数据标准化处理</w:t>
            </w:r>
          </w:p>
          <w:p w14:paraId="11603E5F">
            <w:pPr>
              <w:numPr>
                <w:ilvl w:val="0"/>
                <w:numId w:val="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统一坐标系统和数据格式</w:t>
            </w:r>
          </w:p>
          <w:p w14:paraId="66F84C92">
            <w:pPr>
              <w:numPr>
                <w:ilvl w:val="0"/>
                <w:numId w:val="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进行数据清洗和质量检查</w:t>
            </w:r>
          </w:p>
          <w:p w14:paraId="46A0266D">
            <w:pPr>
              <w:numPr>
                <w:ilvl w:val="0"/>
                <w:numId w:val="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建立数据关联关系和索引</w:t>
            </w:r>
          </w:p>
        </w:tc>
      </w:tr>
      <w:tr w14:paraId="63C3C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76E78FCC">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4E2C1BFE">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7423" w:type="dxa"/>
            <w:vAlign w:val="center"/>
          </w:tcPr>
          <w:p w14:paraId="0C4D6FCA">
            <w:pPr>
              <w:spacing w:line="360" w:lineRule="auto"/>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一、</w:t>
            </w:r>
            <w:r>
              <w:rPr>
                <w:rFonts w:hint="eastAsia" w:asciiTheme="minorEastAsia" w:hAnsiTheme="minorEastAsia" w:cstheme="minorEastAsia"/>
                <w:color w:val="auto"/>
                <w:sz w:val="24"/>
                <w:szCs w:val="24"/>
                <w:lang w:val="en-US" w:eastAsia="zh-CN"/>
              </w:rPr>
              <w:t>项目内容</w:t>
            </w:r>
          </w:p>
          <w:p w14:paraId="16758A43">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（二）图斑优化调整</w:t>
            </w:r>
          </w:p>
          <w:p w14:paraId="5757C587">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细碎图斑整理</w:t>
            </w:r>
          </w:p>
          <w:p w14:paraId="48B4F676">
            <w:pPr>
              <w:numPr>
                <w:ilvl w:val="0"/>
                <w:numId w:val="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在不改变国土变更调查一级地类界线的前提下，对细碎图斑进行整理</w:t>
            </w:r>
          </w:p>
          <w:p w14:paraId="3CC0D9AB">
            <w:pPr>
              <w:numPr>
                <w:ilvl w:val="0"/>
                <w:numId w:val="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合并相邻小图斑，优化图斑边界</w:t>
            </w:r>
          </w:p>
          <w:p w14:paraId="4859C52F">
            <w:pPr>
              <w:numPr>
                <w:ilvl w:val="0"/>
                <w:numId w:val="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提高图斑规整度和可操作性</w:t>
            </w:r>
          </w:p>
          <w:p w14:paraId="2FB186B7">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区划界线优化</w:t>
            </w:r>
          </w:p>
          <w:p w14:paraId="6645E40C">
            <w:pPr>
              <w:numPr>
                <w:ilvl w:val="0"/>
                <w:numId w:val="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对不合理的区划界线进行优化调整</w:t>
            </w:r>
          </w:p>
          <w:p w14:paraId="247F3BE9">
            <w:pPr>
              <w:numPr>
                <w:ilvl w:val="0"/>
                <w:numId w:val="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取消小班地籍编号，建立新的区划体系</w:t>
            </w:r>
          </w:p>
          <w:p w14:paraId="32CC710D">
            <w:pPr>
              <w:numPr>
                <w:ilvl w:val="0"/>
                <w:numId w:val="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确保区划界线符合实际地形地貌和经营管理需要</w:t>
            </w:r>
          </w:p>
        </w:tc>
      </w:tr>
      <w:tr w14:paraId="5E01E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06CC1D57">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20AA1745">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7423" w:type="dxa"/>
            <w:vAlign w:val="center"/>
          </w:tcPr>
          <w:p w14:paraId="0E4CE0E2">
            <w:pPr>
              <w:spacing w:line="360" w:lineRule="auto"/>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一、</w:t>
            </w:r>
            <w:r>
              <w:rPr>
                <w:rFonts w:hint="eastAsia" w:asciiTheme="minorEastAsia" w:hAnsiTheme="minorEastAsia" w:cstheme="minorEastAsia"/>
                <w:color w:val="auto"/>
                <w:sz w:val="24"/>
                <w:szCs w:val="24"/>
                <w:lang w:val="en-US" w:eastAsia="zh-CN"/>
              </w:rPr>
              <w:t>项目内容</w:t>
            </w:r>
          </w:p>
          <w:p w14:paraId="796C1A23">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（三）调查内容创新探索</w:t>
            </w:r>
          </w:p>
          <w:p w14:paraId="4B814AB7">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功能区区划落实</w:t>
            </w:r>
          </w:p>
          <w:p w14:paraId="5BE7D97E">
            <w:pPr>
              <w:numPr>
                <w:ilvl w:val="0"/>
                <w:numId w:val="5"/>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落实科学保护、合理利用、系统治理三类功能区区划</w:t>
            </w:r>
          </w:p>
          <w:p w14:paraId="12AEBDAE">
            <w:pPr>
              <w:numPr>
                <w:ilvl w:val="0"/>
                <w:numId w:val="5"/>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分区施策，制定差异化调查方案</w:t>
            </w:r>
          </w:p>
          <w:p w14:paraId="79B15979">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可持续经营调查</w:t>
            </w:r>
          </w:p>
          <w:p w14:paraId="72EC4B9C">
            <w:pPr>
              <w:numPr>
                <w:ilvl w:val="0"/>
                <w:numId w:val="6"/>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加强林下经济、森林康养、景观利用调查</w:t>
            </w:r>
          </w:p>
          <w:p w14:paraId="7626DA62">
            <w:pPr>
              <w:numPr>
                <w:ilvl w:val="0"/>
                <w:numId w:val="6"/>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开展特色林果、大径材培育等森林可持续经营方面调查</w:t>
            </w:r>
          </w:p>
          <w:p w14:paraId="54AC565F">
            <w:pPr>
              <w:numPr>
                <w:ilvl w:val="0"/>
                <w:numId w:val="6"/>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建立可持续经营评价指标体系</w:t>
            </w:r>
          </w:p>
        </w:tc>
      </w:tr>
      <w:tr w14:paraId="45B62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000525BD">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52F87FB5">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7423" w:type="dxa"/>
            <w:vAlign w:val="center"/>
          </w:tcPr>
          <w:p w14:paraId="04244C58">
            <w:pPr>
              <w:spacing w:line="360" w:lineRule="auto"/>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一、</w:t>
            </w:r>
            <w:r>
              <w:rPr>
                <w:rFonts w:hint="eastAsia" w:asciiTheme="minorEastAsia" w:hAnsiTheme="minorEastAsia" w:cstheme="minorEastAsia"/>
                <w:color w:val="auto"/>
                <w:sz w:val="24"/>
                <w:szCs w:val="24"/>
                <w:lang w:val="en-US" w:eastAsia="zh-CN"/>
              </w:rPr>
              <w:t>项目内容</w:t>
            </w:r>
          </w:p>
          <w:p w14:paraId="01251E6D">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（四）新技术应用探索</w:t>
            </w:r>
          </w:p>
          <w:p w14:paraId="742E2EC9">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激光雷达技术应用</w:t>
            </w:r>
          </w:p>
          <w:p w14:paraId="5BD7695F">
            <w:pPr>
              <w:numPr>
                <w:ilvl w:val="0"/>
                <w:numId w:val="7"/>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探索使用激光雷达开展蓄积量、生物量等因子调查</w:t>
            </w:r>
          </w:p>
          <w:p w14:paraId="27D5481C">
            <w:pPr>
              <w:numPr>
                <w:ilvl w:val="0"/>
                <w:numId w:val="7"/>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建立激光雷达数据处理和分析流程</w:t>
            </w:r>
          </w:p>
          <w:p w14:paraId="393E86B3">
            <w:pPr>
              <w:numPr>
                <w:ilvl w:val="0"/>
                <w:numId w:val="7"/>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验证激光雷达调查精度和效率</w:t>
            </w:r>
          </w:p>
          <w:p w14:paraId="70FC2C34">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穿越式无人机技术应用</w:t>
            </w:r>
          </w:p>
          <w:p w14:paraId="224058E9">
            <w:pPr>
              <w:numPr>
                <w:ilvl w:val="0"/>
                <w:numId w:val="8"/>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探索穿越式无人机在森林资源调查中的应用</w:t>
            </w:r>
          </w:p>
          <w:p w14:paraId="169D45C6">
            <w:pPr>
              <w:numPr>
                <w:ilvl w:val="0"/>
                <w:numId w:val="8"/>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开展复杂地形条件下的数据采集</w:t>
            </w:r>
          </w:p>
          <w:p w14:paraId="3563D194">
            <w:pPr>
              <w:numPr>
                <w:ilvl w:val="0"/>
                <w:numId w:val="8"/>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优化无人机飞行路径和数据获取方案</w:t>
            </w:r>
          </w:p>
          <w:p w14:paraId="39AF076D">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空天地一体化调查模式</w:t>
            </w:r>
          </w:p>
          <w:p w14:paraId="7E327AE2">
            <w:pPr>
              <w:numPr>
                <w:ilvl w:val="0"/>
                <w:numId w:val="9"/>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构建"遥感监测+无人机激光扫描+地面实测"体系</w:t>
            </w:r>
          </w:p>
          <w:p w14:paraId="1D1BDA85">
            <w:pPr>
              <w:numPr>
                <w:ilvl w:val="0"/>
                <w:numId w:val="9"/>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实现多层次、多尺度数据融合</w:t>
            </w:r>
          </w:p>
          <w:p w14:paraId="737F06B7">
            <w:pPr>
              <w:numPr>
                <w:ilvl w:val="0"/>
                <w:numId w:val="9"/>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提升调查精度和效率</w:t>
            </w:r>
          </w:p>
        </w:tc>
      </w:tr>
      <w:tr w14:paraId="3904A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4B99B2C2">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7BC904CC">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7423" w:type="dxa"/>
            <w:vAlign w:val="center"/>
          </w:tcPr>
          <w:p w14:paraId="048CBC60">
            <w:pPr>
              <w:spacing w:line="360" w:lineRule="auto"/>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一、</w:t>
            </w:r>
            <w:r>
              <w:rPr>
                <w:rFonts w:hint="eastAsia" w:asciiTheme="minorEastAsia" w:hAnsiTheme="minorEastAsia" w:cstheme="minorEastAsia"/>
                <w:color w:val="auto"/>
                <w:sz w:val="24"/>
                <w:szCs w:val="24"/>
                <w:lang w:val="en-US" w:eastAsia="zh-CN"/>
              </w:rPr>
              <w:t>项目内容</w:t>
            </w:r>
          </w:p>
          <w:p w14:paraId="3DAFF52E">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（五）专题研究</w:t>
            </w:r>
          </w:p>
          <w:p w14:paraId="70064AAE">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林地立地质量评价</w:t>
            </w:r>
          </w:p>
          <w:p w14:paraId="047A70C8">
            <w:pPr>
              <w:numPr>
                <w:ilvl w:val="0"/>
                <w:numId w:val="10"/>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开展林地立地质量评价研究</w:t>
            </w:r>
          </w:p>
          <w:p w14:paraId="68AFA797">
            <w:pPr>
              <w:numPr>
                <w:ilvl w:val="0"/>
                <w:numId w:val="10"/>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建立立地质量评价指标体系</w:t>
            </w:r>
          </w:p>
          <w:p w14:paraId="562BF196">
            <w:pPr>
              <w:numPr>
                <w:ilvl w:val="0"/>
                <w:numId w:val="10"/>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编制立地质量评价报告</w:t>
            </w:r>
          </w:p>
          <w:p w14:paraId="3825D527">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其他专题研究</w:t>
            </w:r>
          </w:p>
          <w:p w14:paraId="6157AD6D">
            <w:pPr>
              <w:numPr>
                <w:ilvl w:val="0"/>
                <w:numId w:val="1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根据试点实际情况，开展相关专题研究</w:t>
            </w:r>
          </w:p>
          <w:p w14:paraId="2319B758">
            <w:pPr>
              <w:numPr>
                <w:ilvl w:val="0"/>
                <w:numId w:val="11"/>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形成专题研究报告和政策建议</w:t>
            </w:r>
          </w:p>
        </w:tc>
      </w:tr>
      <w:tr w14:paraId="390FE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4F433D94">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7E8F291C">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7423" w:type="dxa"/>
            <w:vAlign w:val="center"/>
          </w:tcPr>
          <w:p w14:paraId="01439515">
            <w:pPr>
              <w:spacing w:line="360" w:lineRule="auto"/>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一、</w:t>
            </w:r>
            <w:r>
              <w:rPr>
                <w:rFonts w:hint="eastAsia" w:asciiTheme="minorEastAsia" w:hAnsiTheme="minorEastAsia" w:cstheme="minorEastAsia"/>
                <w:color w:val="auto"/>
                <w:sz w:val="24"/>
                <w:szCs w:val="24"/>
                <w:lang w:val="en-US" w:eastAsia="zh-CN"/>
              </w:rPr>
              <w:t>项目内容</w:t>
            </w:r>
          </w:p>
          <w:p w14:paraId="4F0F1A76">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（六）试点单位调查</w:t>
            </w:r>
          </w:p>
          <w:p w14:paraId="4AF59FAD">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Hans"/>
              </w:rPr>
              <w:t>试点单位选择</w:t>
            </w:r>
          </w:p>
          <w:p w14:paraId="35505C90">
            <w:pPr>
              <w:numPr>
                <w:ilvl w:val="0"/>
                <w:numId w:val="1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在珠三角地区选择一个林业资源种类丰富、交通便利的县区或林场作为试点单位</w:t>
            </w:r>
          </w:p>
          <w:p w14:paraId="3ED7AD07">
            <w:pPr>
              <w:numPr>
                <w:ilvl w:val="0"/>
                <w:numId w:val="12"/>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试点单位应具有代表性，便于技术推广</w:t>
            </w:r>
          </w:p>
          <w:p w14:paraId="2CD1C5F1">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Hans"/>
              </w:rPr>
              <w:t>植被因子调查</w:t>
            </w:r>
          </w:p>
          <w:p w14:paraId="74F874EA">
            <w:pPr>
              <w:numPr>
                <w:ilvl w:val="0"/>
                <w:numId w:val="1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协助开展植被因子调查，查清树种、郁闭度、树高、胸径、蓄积量等林分因子情况</w:t>
            </w:r>
          </w:p>
          <w:p w14:paraId="074578E2">
            <w:pPr>
              <w:numPr>
                <w:ilvl w:val="0"/>
                <w:numId w:val="13"/>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建立详细的林分因子数据库</w:t>
            </w:r>
          </w:p>
          <w:p w14:paraId="3D7CE1AA">
            <w:pPr>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Hans"/>
              </w:rPr>
              <w:t>新技术应用验证</w:t>
            </w:r>
          </w:p>
          <w:p w14:paraId="6973B95B">
            <w:pPr>
              <w:numPr>
                <w:ilvl w:val="0"/>
                <w:numId w:val="1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重点探索激光雷达、无人机辅助森林资源调查等新技术在实际工作中的应用</w:t>
            </w:r>
          </w:p>
          <w:p w14:paraId="2003E69A">
            <w:pPr>
              <w:numPr>
                <w:ilvl w:val="0"/>
                <w:numId w:val="1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验证新技术的适用性和可靠性</w:t>
            </w:r>
          </w:p>
          <w:p w14:paraId="37862780">
            <w:pPr>
              <w:numPr>
                <w:ilvl w:val="0"/>
                <w:numId w:val="14"/>
              </w:numPr>
              <w:spacing w:line="360" w:lineRule="auto"/>
              <w:ind w:left="425" w:leftChars="0" w:hanging="425" w:firstLineChars="0"/>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总结新技术应用经验</w:t>
            </w:r>
          </w:p>
        </w:tc>
      </w:tr>
      <w:tr w14:paraId="60A4B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6EB53D18">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622574A3">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7423" w:type="dxa"/>
            <w:vAlign w:val="center"/>
          </w:tcPr>
          <w:p w14:paraId="50B85EBA">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四、人员要求</w:t>
            </w:r>
          </w:p>
          <w:p w14:paraId="70A8EE33">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为使项目按质、按量、按时及有序实施，本项目必须有一个完善且固定的项目实施小组及项目负责人,其中包括项目负责人1人，技术负责人1人及其他专业技术人员。项目负责人、技术负责人应具有植物分类学、植物学、林学、森林培育、生态学、资源利用与植物保护等任意一项相关专业高级或以上职称；其他专业技术人员应具有植物分类学、植物学、林学任意一项相关专业中级或以上职称，投标人须在投标文件中详细列明参与本项目的人员名单。</w:t>
            </w:r>
          </w:p>
          <w:p w14:paraId="01611EB1">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（2）在项目实施期间，未经采购人同意，中标人不得调整在投标文件中所承诺的项目实施人员，否则采购人有权终止合同，并要求中标人赔偿由此给采购人造成的全部损失。</w:t>
            </w:r>
          </w:p>
        </w:tc>
      </w:tr>
      <w:tr w14:paraId="3BCEB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2D6888DF">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2C098026">
            <w:pPr>
              <w:spacing w:line="360" w:lineRule="auto"/>
              <w:ind w:left="0" w:leftChars="0" w:right="0" w:righ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w:t>
            </w:r>
          </w:p>
        </w:tc>
        <w:tc>
          <w:tcPr>
            <w:tcW w:w="7423" w:type="dxa"/>
            <w:vAlign w:val="center"/>
          </w:tcPr>
          <w:p w14:paraId="6F4DC56C">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val="en-US" w:eastAsia="zh-CN"/>
              </w:rPr>
              <w:t>、成果要求</w:t>
            </w:r>
          </w:p>
          <w:p w14:paraId="42A591E6">
            <w:pPr>
              <w:spacing w:line="360" w:lineRule="auto"/>
              <w:jc w:val="both"/>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1、森林资源规划设计调查试点成果报告（2026年）</w:t>
            </w:r>
          </w:p>
          <w:p w14:paraId="51C32514">
            <w:pPr>
              <w:spacing w:line="360" w:lineRule="auto"/>
              <w:jc w:val="both"/>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2、林地立地质量评价等专题研究报告</w:t>
            </w:r>
          </w:p>
        </w:tc>
      </w:tr>
      <w:tr w14:paraId="5D0FF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75605CB6">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721A1DB1">
            <w:pPr>
              <w:keepNext w:val="0"/>
              <w:keepLines w:val="0"/>
              <w:pageBreakBefore w:val="0"/>
              <w:widowControl/>
              <w:numPr>
                <w:numId w:val="0"/>
              </w:numPr>
              <w:kinsoku/>
              <w:wordWrap w:val="0"/>
              <w:overflowPunct/>
              <w:topLinePunct w:val="0"/>
              <w:autoSpaceDE/>
              <w:autoSpaceDN/>
              <w:bidi w:val="0"/>
              <w:adjustRightInd/>
              <w:snapToGrid/>
              <w:spacing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9</w:t>
            </w:r>
          </w:p>
        </w:tc>
        <w:tc>
          <w:tcPr>
            <w:tcW w:w="7423" w:type="dxa"/>
            <w:vAlign w:val="center"/>
          </w:tcPr>
          <w:p w14:paraId="2132E553">
            <w:pPr>
              <w:spacing w:line="360" w:lineRule="auto"/>
              <w:jc w:val="left"/>
              <w:rPr>
                <w:rFonts w:hint="eastAsia" w:ascii="宋体" w:hAnsi="宋体" w:eastAsia="宋体" w:cs="宋体"/>
                <w:b w:val="0"/>
                <w:bCs/>
                <w:color w:val="auto"/>
                <w:sz w:val="24"/>
                <w:szCs w:val="24"/>
                <w:highlight w:val="none"/>
                <w:lang w:val="en-US" w:eastAsia="zh-Hans"/>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en-US" w:eastAsia="zh-Hans"/>
              </w:rPr>
              <w:t>、后续跟踪服务要求</w:t>
            </w:r>
          </w:p>
          <w:p w14:paraId="78E25388">
            <w:pPr>
              <w:spacing w:line="360" w:lineRule="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售后服务要求：</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应为采购人作技术支持，并培训采购人相关技术人员掌握项目工作的方法。</w:t>
            </w:r>
          </w:p>
          <w:p w14:paraId="15B412D8">
            <w:pPr>
              <w:spacing w:line="360" w:lineRule="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提供标准电话技术支持（5×8小时）。对采购人的服务通知，</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在接报后30分钟内响应，8小时内到达现场并处理完毕。若8小时内仍未处理完毕，</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必须免费采取应急措施解决，不得影响采购人的正常工作业务，除特殊情况外，故障排除时间不超过12小时。</w:t>
            </w:r>
          </w:p>
          <w:p w14:paraId="777D66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highlight w:val="none"/>
                <w:lang w:val="en-US" w:eastAsia="zh-Hans"/>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售后服务：完成全部成果并验收合格后，提供半年的跟踪服务。</w:t>
            </w:r>
          </w:p>
        </w:tc>
      </w:tr>
      <w:tr w14:paraId="4407E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361DB690">
            <w:pPr>
              <w:spacing w:line="360" w:lineRule="auto"/>
              <w:rPr>
                <w:rFonts w:hint="eastAsia" w:asciiTheme="minorEastAsia" w:hAnsiTheme="minorEastAsia" w:eastAsiaTheme="minorEastAsia" w:cstheme="minorEastAsia"/>
                <w:color w:val="auto"/>
                <w:sz w:val="24"/>
                <w:szCs w:val="24"/>
              </w:rPr>
            </w:pPr>
          </w:p>
        </w:tc>
        <w:tc>
          <w:tcPr>
            <w:tcW w:w="720" w:type="dxa"/>
            <w:vAlign w:val="center"/>
          </w:tcPr>
          <w:p w14:paraId="241DC71F">
            <w:pPr>
              <w:keepNext w:val="0"/>
              <w:keepLines w:val="0"/>
              <w:pageBreakBefore w:val="0"/>
              <w:widowControl/>
              <w:numPr>
                <w:numId w:val="0"/>
              </w:numPr>
              <w:kinsoku/>
              <w:wordWrap w:val="0"/>
              <w:overflowPunct/>
              <w:topLinePunct w:val="0"/>
              <w:autoSpaceDE/>
              <w:autoSpaceDN/>
              <w:bidi w:val="0"/>
              <w:adjustRightInd/>
              <w:snapToGrid/>
              <w:spacing w:line="440" w:lineRule="exact"/>
              <w:ind w:left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10</w:t>
            </w:r>
          </w:p>
        </w:tc>
        <w:tc>
          <w:tcPr>
            <w:tcW w:w="7423" w:type="dxa"/>
            <w:vAlign w:val="center"/>
          </w:tcPr>
          <w:p w14:paraId="37D959B3">
            <w:pPr>
              <w:spacing w:line="360" w:lineRule="auto"/>
              <w:rPr>
                <w:rFonts w:hint="eastAsia" w:ascii="宋体" w:hAnsi="宋体" w:eastAsia="宋体" w:cs="宋体"/>
                <w:b w:val="0"/>
                <w:bCs/>
                <w:color w:val="auto"/>
                <w:sz w:val="24"/>
                <w:szCs w:val="24"/>
                <w:highlight w:val="none"/>
                <w:lang w:val="en-US" w:eastAsia="zh-Hans"/>
              </w:rPr>
            </w:pP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lang w:val="en-US" w:eastAsia="zh-Hans"/>
              </w:rPr>
              <w:t>其他要求</w:t>
            </w:r>
          </w:p>
          <w:p w14:paraId="713D67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highlight w:val="none"/>
                <w:lang w:val="en-US" w:eastAsia="zh-Hans"/>
              </w:rPr>
              <w:t>如遇政策要求（国家和省级林草主管部门政策变化或技术指南更新）导致服务内容有所变动的，</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lang w:val="en-US" w:eastAsia="zh-Hans"/>
              </w:rPr>
              <w:t>需无条件按采购人最新要求执行。</w:t>
            </w:r>
            <w:r>
              <w:rPr>
                <w:rFonts w:hint="eastAsia" w:ascii="宋体" w:hAnsi="宋体" w:eastAsia="宋体" w:cs="宋体"/>
                <w:b/>
                <w:color w:val="auto"/>
                <w:sz w:val="24"/>
                <w:szCs w:val="24"/>
                <w:highlight w:val="none"/>
                <w:lang w:val="en-US" w:eastAsia="zh-Hans"/>
              </w:rPr>
              <w:t>[提供承诺函(格式自拟）并加盖响应供应商公章，其他情况或不提供的视为不满足]</w:t>
            </w:r>
          </w:p>
        </w:tc>
      </w:tr>
      <w:tr w14:paraId="3E964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49" w:type="dxa"/>
            <w:vAlign w:val="center"/>
          </w:tcPr>
          <w:p w14:paraId="06CE6AC9">
            <w:pPr>
              <w:spacing w:line="360" w:lineRule="auto"/>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说明</w:t>
            </w:r>
          </w:p>
        </w:tc>
        <w:tc>
          <w:tcPr>
            <w:tcW w:w="8143" w:type="dxa"/>
            <w:gridSpan w:val="2"/>
            <w:vAlign w:val="center"/>
          </w:tcPr>
          <w:p w14:paraId="4342DB6C">
            <w:pPr>
              <w:spacing w:line="360" w:lineRule="auto"/>
              <w:jc w:val="left"/>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 xml:space="preserve"> 打“★”号条款为实质性条款，若有任何一条负偏离或不满足则导致投标无效。 </w:t>
            </w:r>
            <w:r>
              <w:rPr>
                <w:rFonts w:hint="eastAsia" w:asciiTheme="minorEastAsia" w:hAnsiTheme="minorEastAsia" w:eastAsiaTheme="minorEastAsia" w:cstheme="minorEastAsia"/>
                <w:color w:val="auto"/>
                <w:sz w:val="24"/>
                <w:szCs w:val="24"/>
                <w:lang w:val="en-US" w:eastAsia="zh-Hans"/>
              </w:rPr>
              <w:br w:type="textWrapping"/>
            </w:r>
            <w:r>
              <w:rPr>
                <w:rFonts w:hint="eastAsia" w:asciiTheme="minorEastAsia" w:hAnsiTheme="minorEastAsia" w:eastAsiaTheme="minorEastAsia" w:cstheme="minorEastAsia"/>
                <w:color w:val="auto"/>
                <w:sz w:val="24"/>
                <w:szCs w:val="24"/>
                <w:lang w:val="en-US" w:eastAsia="zh-Hans"/>
              </w:rPr>
              <w:t>打“▲”号条款为重要技术参数，若有部分“▲”条款未响应或不满足，将导致其响应性评审加重扣分，但不作为无效投标条款。</w:t>
            </w:r>
          </w:p>
        </w:tc>
      </w:tr>
    </w:tbl>
    <w:p w14:paraId="1EA0294D">
      <w:pPr>
        <w:widowControl/>
        <w:spacing w:before="0" w:beforeAutospacing="0" w:after="0" w:afterAutospacing="0"/>
        <w:outlineLvl w:val="9"/>
        <w:rPr>
          <w:rFonts w:ascii="Calibri" w:hAnsi="Calibri" w:eastAsia="宋体" w:cs="宋体"/>
          <w:color w:val="auto"/>
          <w:highlight w:val="none"/>
          <w:shd w:val="clear" w:color="auto" w:fill="FFFFFF"/>
        </w:rPr>
      </w:pPr>
    </w:p>
    <w:p w14:paraId="182C310F">
      <w:pPr>
        <w:rPr>
          <w:rFonts w:hint="eastAsia" w:eastAsiaTheme="minorEastAsia"/>
          <w:lang w:val="en-US" w:eastAsia="zh-CN"/>
        </w:rPr>
      </w:pPr>
    </w:p>
    <w:p w14:paraId="0D76375C">
      <w:pPr>
        <w:rPr>
          <w:rFonts w:hint="eastAsia" w:eastAsiaTheme="minorEastAsia"/>
          <w:lang w:val="en-US" w:eastAsia="zh-CN"/>
        </w:rPr>
      </w:pPr>
    </w:p>
    <w:p w14:paraId="6BFA8DDE">
      <w:pPr>
        <w:rPr>
          <w:rFonts w:hint="eastAsia" w:eastAsiaTheme="minorEastAsia"/>
          <w:lang w:val="en-US" w:eastAsia="zh-CN"/>
        </w:rPr>
      </w:pPr>
      <w:bookmarkStart w:id="0" w:name="_GoBack"/>
      <w:bookmarkEnd w:id="0"/>
    </w:p>
    <w:sectPr>
      <w:pgSz w:w="11906" w:h="16838"/>
      <w:pgMar w:top="1440" w:right="1644"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E94EF"/>
    <w:multiLevelType w:val="singleLevel"/>
    <w:tmpl w:val="BEFE94EF"/>
    <w:lvl w:ilvl="0" w:tentative="0">
      <w:start w:val="1"/>
      <w:numFmt w:val="decimal"/>
      <w:lvlText w:val="(%1)"/>
      <w:lvlJc w:val="left"/>
      <w:pPr>
        <w:ind w:left="425" w:hanging="425"/>
      </w:pPr>
      <w:rPr>
        <w:rFonts w:hint="default"/>
      </w:rPr>
    </w:lvl>
  </w:abstractNum>
  <w:abstractNum w:abstractNumId="1">
    <w:nsid w:val="CB0EC943"/>
    <w:multiLevelType w:val="singleLevel"/>
    <w:tmpl w:val="CB0EC943"/>
    <w:lvl w:ilvl="0" w:tentative="0">
      <w:start w:val="1"/>
      <w:numFmt w:val="decimal"/>
      <w:lvlText w:val="(%1)"/>
      <w:lvlJc w:val="left"/>
      <w:pPr>
        <w:ind w:left="425" w:hanging="425"/>
      </w:pPr>
      <w:rPr>
        <w:rFonts w:hint="default"/>
      </w:rPr>
    </w:lvl>
  </w:abstractNum>
  <w:abstractNum w:abstractNumId="2">
    <w:nsid w:val="CC5C903D"/>
    <w:multiLevelType w:val="singleLevel"/>
    <w:tmpl w:val="CC5C903D"/>
    <w:lvl w:ilvl="0" w:tentative="0">
      <w:start w:val="1"/>
      <w:numFmt w:val="decimal"/>
      <w:lvlText w:val="(%1)"/>
      <w:lvlJc w:val="left"/>
      <w:pPr>
        <w:ind w:left="425" w:hanging="425"/>
      </w:pPr>
      <w:rPr>
        <w:rFonts w:hint="default"/>
      </w:rPr>
    </w:lvl>
  </w:abstractNum>
  <w:abstractNum w:abstractNumId="3">
    <w:nsid w:val="D5C7C5D4"/>
    <w:multiLevelType w:val="singleLevel"/>
    <w:tmpl w:val="D5C7C5D4"/>
    <w:lvl w:ilvl="0" w:tentative="0">
      <w:start w:val="1"/>
      <w:numFmt w:val="decimal"/>
      <w:lvlText w:val="(%1)"/>
      <w:lvlJc w:val="left"/>
      <w:pPr>
        <w:ind w:left="425" w:hanging="425"/>
      </w:pPr>
      <w:rPr>
        <w:rFonts w:hint="default"/>
      </w:rPr>
    </w:lvl>
  </w:abstractNum>
  <w:abstractNum w:abstractNumId="4">
    <w:nsid w:val="DC1E4407"/>
    <w:multiLevelType w:val="singleLevel"/>
    <w:tmpl w:val="DC1E4407"/>
    <w:lvl w:ilvl="0" w:tentative="0">
      <w:start w:val="1"/>
      <w:numFmt w:val="decimal"/>
      <w:lvlText w:val="(%1)"/>
      <w:lvlJc w:val="left"/>
      <w:pPr>
        <w:ind w:left="425" w:hanging="425"/>
      </w:pPr>
      <w:rPr>
        <w:rFonts w:hint="default"/>
      </w:rPr>
    </w:lvl>
  </w:abstractNum>
  <w:abstractNum w:abstractNumId="5">
    <w:nsid w:val="E8AF023C"/>
    <w:multiLevelType w:val="singleLevel"/>
    <w:tmpl w:val="E8AF023C"/>
    <w:lvl w:ilvl="0" w:tentative="0">
      <w:start w:val="1"/>
      <w:numFmt w:val="decimal"/>
      <w:lvlText w:val="(%1)"/>
      <w:lvlJc w:val="left"/>
      <w:pPr>
        <w:ind w:left="425" w:hanging="425"/>
      </w:pPr>
      <w:rPr>
        <w:rFonts w:hint="default"/>
      </w:rPr>
    </w:lvl>
  </w:abstractNum>
  <w:abstractNum w:abstractNumId="6">
    <w:nsid w:val="FB25AF8B"/>
    <w:multiLevelType w:val="singleLevel"/>
    <w:tmpl w:val="FB25AF8B"/>
    <w:lvl w:ilvl="0" w:tentative="0">
      <w:start w:val="1"/>
      <w:numFmt w:val="decimal"/>
      <w:lvlText w:val="(%1)"/>
      <w:lvlJc w:val="left"/>
      <w:pPr>
        <w:ind w:left="425" w:hanging="425"/>
      </w:pPr>
      <w:rPr>
        <w:rFonts w:hint="default"/>
      </w:rPr>
    </w:lvl>
  </w:abstractNum>
  <w:abstractNum w:abstractNumId="7">
    <w:nsid w:val="09DA4007"/>
    <w:multiLevelType w:val="singleLevel"/>
    <w:tmpl w:val="09DA4007"/>
    <w:lvl w:ilvl="0" w:tentative="0">
      <w:start w:val="1"/>
      <w:numFmt w:val="decimal"/>
      <w:lvlText w:val="(%1)"/>
      <w:lvlJc w:val="left"/>
      <w:pPr>
        <w:ind w:left="425" w:hanging="425"/>
      </w:pPr>
      <w:rPr>
        <w:rFonts w:hint="default"/>
      </w:rPr>
    </w:lvl>
  </w:abstractNum>
  <w:abstractNum w:abstractNumId="8">
    <w:nsid w:val="12E9EEA2"/>
    <w:multiLevelType w:val="singleLevel"/>
    <w:tmpl w:val="12E9EEA2"/>
    <w:lvl w:ilvl="0" w:tentative="0">
      <w:start w:val="1"/>
      <w:numFmt w:val="decimal"/>
      <w:lvlText w:val="(%1)"/>
      <w:lvlJc w:val="left"/>
      <w:pPr>
        <w:ind w:left="425" w:hanging="425"/>
      </w:pPr>
      <w:rPr>
        <w:rFonts w:hint="default"/>
      </w:rPr>
    </w:lvl>
  </w:abstractNum>
  <w:abstractNum w:abstractNumId="9">
    <w:nsid w:val="1409B1FA"/>
    <w:multiLevelType w:val="singleLevel"/>
    <w:tmpl w:val="1409B1FA"/>
    <w:lvl w:ilvl="0" w:tentative="0">
      <w:start w:val="1"/>
      <w:numFmt w:val="decimal"/>
      <w:lvlText w:val="(%1)"/>
      <w:lvlJc w:val="left"/>
      <w:pPr>
        <w:ind w:left="425" w:hanging="425"/>
      </w:pPr>
      <w:rPr>
        <w:rFonts w:hint="default"/>
      </w:rPr>
    </w:lvl>
  </w:abstractNum>
  <w:abstractNum w:abstractNumId="10">
    <w:nsid w:val="439EAB14"/>
    <w:multiLevelType w:val="singleLevel"/>
    <w:tmpl w:val="439EAB14"/>
    <w:lvl w:ilvl="0" w:tentative="0">
      <w:start w:val="1"/>
      <w:numFmt w:val="decimal"/>
      <w:lvlText w:val="(%1)"/>
      <w:lvlJc w:val="left"/>
      <w:pPr>
        <w:ind w:left="425" w:hanging="425"/>
      </w:pPr>
      <w:rPr>
        <w:rFonts w:hint="default"/>
      </w:rPr>
    </w:lvl>
  </w:abstractNum>
  <w:abstractNum w:abstractNumId="11">
    <w:nsid w:val="60786388"/>
    <w:multiLevelType w:val="singleLevel"/>
    <w:tmpl w:val="60786388"/>
    <w:lvl w:ilvl="0" w:tentative="0">
      <w:start w:val="1"/>
      <w:numFmt w:val="decimal"/>
      <w:lvlText w:val="(%1)"/>
      <w:lvlJc w:val="left"/>
      <w:pPr>
        <w:ind w:left="425" w:hanging="425"/>
      </w:pPr>
      <w:rPr>
        <w:rFonts w:hint="default"/>
      </w:rPr>
    </w:lvl>
  </w:abstractNum>
  <w:abstractNum w:abstractNumId="12">
    <w:nsid w:val="640D2EE3"/>
    <w:multiLevelType w:val="singleLevel"/>
    <w:tmpl w:val="640D2EE3"/>
    <w:lvl w:ilvl="0" w:tentative="0">
      <w:start w:val="1"/>
      <w:numFmt w:val="decimal"/>
      <w:lvlText w:val="(%1)"/>
      <w:lvlJc w:val="left"/>
      <w:pPr>
        <w:ind w:left="425" w:hanging="425"/>
      </w:pPr>
      <w:rPr>
        <w:rFonts w:hint="default"/>
      </w:rPr>
    </w:lvl>
  </w:abstractNum>
  <w:abstractNum w:abstractNumId="13">
    <w:nsid w:val="72BF6134"/>
    <w:multiLevelType w:val="singleLevel"/>
    <w:tmpl w:val="72BF6134"/>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7"/>
  </w:num>
  <w:num w:numId="4">
    <w:abstractNumId w:val="12"/>
  </w:num>
  <w:num w:numId="5">
    <w:abstractNumId w:val="8"/>
  </w:num>
  <w:num w:numId="6">
    <w:abstractNumId w:val="4"/>
  </w:num>
  <w:num w:numId="7">
    <w:abstractNumId w:val="5"/>
  </w:num>
  <w:num w:numId="8">
    <w:abstractNumId w:val="0"/>
  </w:num>
  <w:num w:numId="9">
    <w:abstractNumId w:val="13"/>
  </w:num>
  <w:num w:numId="10">
    <w:abstractNumId w:val="10"/>
  </w:num>
  <w:num w:numId="11">
    <w:abstractNumId w:val="9"/>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31E38"/>
    <w:rsid w:val="35D57672"/>
    <w:rsid w:val="5C746E01"/>
    <w:rsid w:val="5FDF70E6"/>
    <w:rsid w:val="69C2047C"/>
    <w:rsid w:val="6BE91013"/>
    <w:rsid w:val="717D2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1917</Words>
  <Characters>1987</Characters>
  <Lines>0</Lines>
  <Paragraphs>0</Paragraphs>
  <TotalTime>1</TotalTime>
  <ScaleCrop>false</ScaleCrop>
  <LinksUpToDate>false</LinksUpToDate>
  <CharactersWithSpaces>1996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Administrator</dc:creator>
  <cp:lastModifiedBy>Sweetheart</cp:lastModifiedBy>
  <dcterms:modified xsi:type="dcterms:W3CDTF">2026-05-22T11:01:21Z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eyJoZGlkIjoiYzY5ZDE0YWYyMjAzMzNhMzAyODg5NDQzZjNkN2IzNzkiLCJ1c2VySWQiOiI0NjQ0MjU1NDQifQ==</vt:lpwstr>
  </property>
  <property fmtid="{D5CDD505-2E9C-101B-9397-08002B2CF9AE}" pid="4" name="ICV">
    <vt:lpwstr>5EA38F53B5E4411E9013F69651D2FAE0_12</vt:lpwstr>
  </property>
</Properties>
</file>