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6420D">
      <w:pPr>
        <w:ind w:left="0" w:leftChars="0" w:right="0" w:rightChars="0" w:firstLine="0" w:firstLineChars="0"/>
        <w:jc w:val="center"/>
        <w:rPr>
          <w:rFonts w:hint="eastAsia"/>
          <w:b/>
          <w:sz w:val="32"/>
          <w:szCs w:val="32"/>
          <w:lang w:eastAsia="zh-CN"/>
        </w:rPr>
      </w:pPr>
      <w:r>
        <w:rPr>
          <w:rFonts w:hint="eastAsia"/>
          <w:b/>
          <w:sz w:val="32"/>
          <w:szCs w:val="32"/>
          <w:lang w:eastAsia="zh-CN"/>
        </w:rPr>
        <w:t>广东省国家（国际）重要湿地生态监测技术服务（2026年）</w:t>
      </w:r>
      <w:r>
        <w:rPr>
          <w:rFonts w:hint="eastAsia" w:eastAsiaTheme="minorEastAsia"/>
          <w:b/>
          <w:sz w:val="32"/>
          <w:szCs w:val="32"/>
          <w:lang w:eastAsia="zh-CN"/>
        </w:rPr>
        <w:t>采购需求征集内容</w:t>
      </w:r>
    </w:p>
    <w:p w14:paraId="607BB5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outlineLvl w:val="2"/>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一、项目概况：</w:t>
      </w:r>
    </w:p>
    <w:p w14:paraId="7DF382D9">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b/>
          <w:bCs/>
          <w:color w:val="auto"/>
          <w:spacing w:val="10"/>
          <w:sz w:val="24"/>
          <w:szCs w:val="24"/>
          <w:highlight w:val="none"/>
        </w:rPr>
        <w:t>有关说明：</w:t>
      </w:r>
    </w:p>
    <w:p w14:paraId="5B4B859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pacing w:val="2"/>
          <w:sz w:val="24"/>
          <w:szCs w:val="24"/>
          <w:highlight w:val="none"/>
        </w:rPr>
        <w:t>投标人须对本项目的采购标的进行整体投标，任何只对本项目采购标的其中一部分内容、数量进行的投标都被视为无</w:t>
      </w:r>
      <w:r>
        <w:rPr>
          <w:rFonts w:hint="eastAsia" w:ascii="宋体" w:hAnsi="宋体" w:eastAsia="宋体" w:cs="宋体"/>
          <w:color w:val="auto"/>
          <w:spacing w:val="-2"/>
          <w:sz w:val="24"/>
          <w:szCs w:val="24"/>
          <w:highlight w:val="none"/>
        </w:rPr>
        <w:t>效投标。</w:t>
      </w:r>
    </w:p>
    <w:p w14:paraId="63981E9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2.采购需求中标注“★”号条款为实质性条款，必须逐条进行响应，有任何一条负偏离的，将导致无效投标。</w:t>
      </w:r>
    </w:p>
    <w:p w14:paraId="468D87C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3.采购需求中标注“▲”号条款为重要技术参数，但不作为无效投标条款。</w:t>
      </w:r>
    </w:p>
    <w:p w14:paraId="72AB3DCC">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lang w:val="en-US" w:eastAsia="zh-CN"/>
        </w:rPr>
      </w:pPr>
      <w:r>
        <w:rPr>
          <w:rFonts w:hint="eastAsia" w:ascii="Calibri" w:hAnsi="Calibri" w:eastAsia="宋体" w:cs="Times New Roman"/>
          <w:color w:val="auto"/>
          <w:highlight w:val="none"/>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z w:val="24"/>
          <w:szCs w:val="24"/>
          <w:highlight w:val="none"/>
          <w:lang w:val="en-US" w:eastAsia="zh-CN"/>
        </w:rPr>
        <w:t>本章中主要商务要求中的“标的提供的时间”、“标的提供的地点”、“付款方式”、“验收要求”内容均为实质性的条款，投标供应商必须对此响应并完全满足或优于这些条款，否则将按无效投标处理。</w:t>
      </w:r>
    </w:p>
    <w:p w14:paraId="416CC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采购包1（</w:t>
      </w:r>
      <w:bookmarkStart w:id="0" w:name="_GoBack"/>
      <w:bookmarkEnd w:id="0"/>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国家（国际）重要湿地生态监测技术服务）：</w:t>
      </w:r>
    </w:p>
    <w:p w14:paraId="4EDEF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1.主要商务要求</w:t>
      </w:r>
    </w:p>
    <w:tbl>
      <w:tblPr>
        <w:tblStyle w:val="3"/>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3"/>
        <w:gridCol w:w="6855"/>
      </w:tblGrid>
      <w:tr w14:paraId="779578F1">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E9DCA0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标的提供的时间</w:t>
            </w:r>
          </w:p>
        </w:tc>
        <w:tc>
          <w:tcPr>
            <w:tcW w:w="66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0A306B0C">
            <w:pPr>
              <w:pStyle w:val="5"/>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月31日前提交成果报告并通过验收。</w:t>
            </w:r>
          </w:p>
        </w:tc>
      </w:tr>
      <w:tr w14:paraId="485DA9E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1433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标的提供的地点</w:t>
            </w:r>
          </w:p>
        </w:tc>
        <w:tc>
          <w:tcPr>
            <w:tcW w:w="66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006F3447">
            <w:pPr>
              <w:pStyle w:val="5"/>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rPr>
              <w:t>采购人指定地点。</w:t>
            </w:r>
          </w:p>
        </w:tc>
      </w:tr>
      <w:tr w14:paraId="0D245230">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3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3709DDB0">
            <w:pPr>
              <w:pStyle w:val="5"/>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付款方式</w:t>
            </w:r>
          </w:p>
        </w:tc>
        <w:tc>
          <w:tcPr>
            <w:tcW w:w="66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7FDE8872">
            <w:pPr>
              <w:pStyle w:val="5"/>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第1期为(预付款)：支付比例70%，签订合同后15个工作日内采购人支付合同总金额的70%。</w:t>
            </w:r>
          </w:p>
          <w:p w14:paraId="68336787">
            <w:pPr>
              <w:pStyle w:val="5"/>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第2期为(进度款)：支付比例20%，提交项目成果后15个工作日内支付合同总金额的20%。</w:t>
            </w:r>
          </w:p>
          <w:p w14:paraId="6CD1C94B">
            <w:pPr>
              <w:pStyle w:val="5"/>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第3期为(尾款)：支付比例10%，经采购人验收合格后15个工作日内支付合同总金额的10%。</w:t>
            </w:r>
          </w:p>
          <w:p w14:paraId="242960A1">
            <w:pPr>
              <w:pStyle w:val="5"/>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中标人凭以下有效文件与采购人结算：（1）合同；（2）中标供应商开具的正式发票；（3）中标通知书。因采购人使用的是财政资金，具体支付方式及时间因财政资金到账时间影响而导致实际付款方式或付款时间迟延的，采购人无须承担违约责任。</w:t>
            </w:r>
          </w:p>
          <w:p w14:paraId="31E6B1FD">
            <w:pPr>
              <w:pStyle w:val="5"/>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rPr>
              <w:t>如项目发生合同融资，采购人应当将合同款项支付到合同约定收款账户。</w:t>
            </w:r>
          </w:p>
        </w:tc>
      </w:tr>
      <w:tr w14:paraId="3F7BA7F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EEB2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验收要求</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84EB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1期：技术咨询服务工作成果应按照国家、广东省林业主管部门的有关工作要求，确保工作质量</w:t>
            </w:r>
            <w:r>
              <w:rPr>
                <w:rFonts w:hint="eastAsia" w:asciiTheme="minorEastAsia" w:hAnsiTheme="minorEastAsia" w:eastAsiaTheme="minorEastAsia" w:cstheme="minorEastAsia"/>
                <w:color w:val="auto"/>
                <w:sz w:val="24"/>
                <w:szCs w:val="24"/>
                <w:highlight w:val="none"/>
                <w:lang w:eastAsia="zh-CN"/>
              </w:rPr>
              <w:t>；</w:t>
            </w:r>
          </w:p>
          <w:p w14:paraId="5A8980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（1）中标人提交技术咨询服务工作成果的形式：8处国家(国际)重要湿地年度监测报告单行本(含文本、附表、附图和附件以及矢量数据等)电子版及纸质材料30套，提交方式为纸质版。</w:t>
            </w:r>
          </w:p>
          <w:p w14:paraId="310E6C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（2）技术咨询服务工作成果的验收标准:中标人按照国家、广东省林业主管部门的有关工作要求，确保工作质量，成果报告能满足国家、省级和地方的有关规定，通过验收。</w:t>
            </w:r>
          </w:p>
          <w:p w14:paraId="6FAC92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（3）技术咨询服务工作成果的验收方法:由</w:t>
            </w:r>
            <w:r>
              <w:rPr>
                <w:rFonts w:hint="eastAsia" w:asciiTheme="minorEastAsia" w:hAnsiTheme="minorEastAsia" w:eastAsiaTheme="minorEastAsia" w:cstheme="minorEastAsia"/>
                <w:color w:val="auto"/>
                <w:sz w:val="24"/>
                <w:szCs w:val="24"/>
                <w:highlight w:val="none"/>
                <w:lang w:eastAsia="zh-CN"/>
              </w:rPr>
              <w:t>广东省林业调查规划院</w:t>
            </w:r>
            <w:r>
              <w:rPr>
                <w:rFonts w:hint="eastAsia" w:asciiTheme="minorEastAsia" w:hAnsiTheme="minorEastAsia" w:eastAsiaTheme="minorEastAsia" w:cstheme="minorEastAsia"/>
                <w:color w:val="auto"/>
                <w:sz w:val="24"/>
                <w:szCs w:val="24"/>
                <w:highlight w:val="none"/>
              </w:rPr>
              <w:t>组织相关专家对成果进行验收，中标人协助并配合。</w:t>
            </w:r>
          </w:p>
          <w:p w14:paraId="2075F9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（4）验收的时间和地点:由</w:t>
            </w:r>
            <w:r>
              <w:rPr>
                <w:rFonts w:hint="eastAsia" w:asciiTheme="minorEastAsia" w:hAnsiTheme="minorEastAsia" w:eastAsiaTheme="minorEastAsia" w:cstheme="minorEastAsia"/>
                <w:color w:val="auto"/>
                <w:sz w:val="24"/>
                <w:szCs w:val="24"/>
                <w:highlight w:val="none"/>
                <w:lang w:eastAsia="zh-CN"/>
              </w:rPr>
              <w:t>广东省林业调查规划院</w:t>
            </w:r>
            <w:r>
              <w:rPr>
                <w:rFonts w:hint="eastAsia" w:asciiTheme="minorEastAsia" w:hAnsiTheme="minorEastAsia" w:eastAsiaTheme="minorEastAsia" w:cstheme="minorEastAsia"/>
                <w:color w:val="auto"/>
                <w:sz w:val="24"/>
                <w:szCs w:val="24"/>
                <w:highlight w:val="none"/>
              </w:rPr>
              <w:t>具体安排。</w:t>
            </w:r>
          </w:p>
        </w:tc>
      </w:tr>
      <w:tr w14:paraId="5274E28A">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23E13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履约保证金</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38BE1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不收取</w:t>
            </w:r>
          </w:p>
        </w:tc>
      </w:tr>
      <w:tr w14:paraId="43269F67">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E46AD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其他</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ED69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p>
        </w:tc>
      </w:tr>
    </w:tbl>
    <w:p w14:paraId="4FFA9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2.技术标准与要求</w:t>
      </w:r>
    </w:p>
    <w:tbl>
      <w:tblPr>
        <w:tblStyle w:val="3"/>
        <w:tblW w:w="5155"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
        <w:gridCol w:w="894"/>
        <w:gridCol w:w="710"/>
        <w:gridCol w:w="985"/>
        <w:gridCol w:w="502"/>
        <w:gridCol w:w="742"/>
        <w:gridCol w:w="1590"/>
        <w:gridCol w:w="1589"/>
        <w:gridCol w:w="899"/>
        <w:gridCol w:w="739"/>
      </w:tblGrid>
      <w:tr w14:paraId="15CDDBF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4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0F9E1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序号</w:t>
            </w:r>
          </w:p>
        </w:tc>
        <w:tc>
          <w:tcPr>
            <w:tcW w:w="862"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20922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核心产品（“△”）</w:t>
            </w:r>
          </w:p>
        </w:tc>
        <w:tc>
          <w:tcPr>
            <w:tcW w:w="685"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0D9B5F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品目名称</w:t>
            </w:r>
          </w:p>
        </w:tc>
        <w:tc>
          <w:tcPr>
            <w:tcW w:w="95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169544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标的名称</w:t>
            </w:r>
          </w:p>
        </w:tc>
        <w:tc>
          <w:tcPr>
            <w:tcW w:w="48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E5703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单位</w:t>
            </w:r>
          </w:p>
        </w:tc>
        <w:tc>
          <w:tcPr>
            <w:tcW w:w="71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E3721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数量</w:t>
            </w:r>
          </w:p>
        </w:tc>
        <w:tc>
          <w:tcPr>
            <w:tcW w:w="153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64C558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分项预算单价（元）</w:t>
            </w:r>
          </w:p>
        </w:tc>
        <w:tc>
          <w:tcPr>
            <w:tcW w:w="153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BF44E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分项预算总价（元）</w:t>
            </w:r>
          </w:p>
        </w:tc>
        <w:tc>
          <w:tcPr>
            <w:tcW w:w="8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28639D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所属行业</w:t>
            </w:r>
          </w:p>
        </w:tc>
        <w:tc>
          <w:tcPr>
            <w:tcW w:w="71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0EAA2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技术要求</w:t>
            </w:r>
          </w:p>
        </w:tc>
      </w:tr>
      <w:tr w14:paraId="4FE4E28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5851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8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B187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68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6FC9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其他林业服务</w:t>
            </w:r>
          </w:p>
        </w:tc>
        <w:tc>
          <w:tcPr>
            <w:tcW w:w="95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5BCB3F">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sz w:val="21"/>
                <w:szCs w:val="21"/>
                <w:u w:val="none"/>
                <w:lang w:val="en-US" w:eastAsia="zh-CN"/>
              </w:rPr>
              <w:t>国家（国际）重要湿地生态监测技术服务</w:t>
            </w:r>
          </w:p>
        </w:tc>
        <w:tc>
          <w:tcPr>
            <w:tcW w:w="48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887948">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项</w:t>
            </w:r>
          </w:p>
        </w:tc>
        <w:tc>
          <w:tcPr>
            <w:tcW w:w="71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A45B2B9">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1</w:t>
            </w:r>
          </w:p>
        </w:tc>
        <w:tc>
          <w:tcPr>
            <w:tcW w:w="153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42FE7B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sz w:val="21"/>
                <w:szCs w:val="21"/>
                <w:u w:val="none"/>
                <w:lang w:val="en-US" w:eastAsia="zh-CN"/>
              </w:rPr>
              <w:t>800000.00</w:t>
            </w:r>
          </w:p>
        </w:tc>
        <w:tc>
          <w:tcPr>
            <w:tcW w:w="153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3665641">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sz w:val="21"/>
                <w:szCs w:val="21"/>
                <w:u w:val="none"/>
                <w:lang w:val="en-US" w:eastAsia="zh-CN"/>
              </w:rPr>
              <w:t>800000.00</w:t>
            </w:r>
          </w:p>
        </w:tc>
        <w:tc>
          <w:tcPr>
            <w:tcW w:w="8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0211B2D">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其他未列明行业</w:t>
            </w:r>
          </w:p>
        </w:tc>
        <w:tc>
          <w:tcPr>
            <w:tcW w:w="71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5930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详见附表一</w:t>
            </w:r>
          </w:p>
        </w:tc>
      </w:tr>
    </w:tbl>
    <w:p w14:paraId="2EE79F65">
      <w:pPr>
        <w:rPr>
          <w:rFonts w:ascii="Calibri" w:hAnsi="Calibri" w:eastAsia="宋体" w:cs="宋体"/>
          <w:color w:val="auto"/>
          <w:highlight w:val="none"/>
          <w:shd w:val="clear" w:color="auto" w:fill="FFFFFF"/>
        </w:rPr>
      </w:pPr>
    </w:p>
    <w:p w14:paraId="22C35C7E">
      <w:pPr>
        <w:widowControl/>
        <w:spacing w:before="0" w:beforeAutospacing="0" w:after="0" w:afterAutospacing="0"/>
        <w:jc w:val="left"/>
        <w:outlineLvl w:val="3"/>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附表一：国家（国际）重要湿地生态监测技术服务</w:t>
      </w:r>
    </w:p>
    <w:tbl>
      <w:tblPr>
        <w:tblStyle w:val="3"/>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0"/>
        <w:gridCol w:w="804"/>
        <w:gridCol w:w="7174"/>
      </w:tblGrid>
      <w:tr w14:paraId="20891A64">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88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06FAC164">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参数性质</w:t>
            </w:r>
          </w:p>
        </w:tc>
        <w:tc>
          <w:tcPr>
            <w:tcW w:w="80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B4AC628">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序号</w:t>
            </w:r>
          </w:p>
        </w:tc>
        <w:tc>
          <w:tcPr>
            <w:tcW w:w="717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6A05AB6F">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具体技术(参数)要求</w:t>
            </w:r>
          </w:p>
        </w:tc>
      </w:tr>
      <w:tr w14:paraId="5ADF23DF">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8BF1C4">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410144B">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1EB7E6">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一、总体目标</w:t>
            </w:r>
          </w:p>
          <w:p w14:paraId="2676E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Hans"/>
              </w:rPr>
              <w:t>为全面落实《自然资源部 国家林业和草原局关于开展全国森林、草原、湿地、荒漠化普查工作的通知》（自然资发〔2024〕78号）精神，做好202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Hans"/>
              </w:rPr>
              <w:t>年度全国林草湿荒调查监测工作，准确掌握广东省国家（国际）重要湿地资源现状和变化情况，科学评价广东省国家（国际）重要湿地生态状况，支撑湿地资源保护监管、林长制督查考核以及碳达峰、碳中和战略，开展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Hans"/>
              </w:rPr>
              <w:t>年度广东省国家（国际）重要湿地生态监测工作。</w:t>
            </w:r>
          </w:p>
        </w:tc>
      </w:tr>
      <w:tr w14:paraId="7F9B9720">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24FC5C">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BCC7180">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bidi="ar"/>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CDD6CCA">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二、主要任务</w:t>
            </w:r>
          </w:p>
          <w:p w14:paraId="71934BBF">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CN"/>
              </w:rPr>
              <w:t>按照国家、广东省有关的政策文件、相关技术标准及规程规范，遵循相关技术要求，开展2026年度广东省国家（国际）重要湿地生态监测工作。</w:t>
            </w:r>
          </w:p>
        </w:tc>
      </w:tr>
      <w:tr w14:paraId="3902D6D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368B8B">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0C53371">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bidi="ar"/>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C8FEFD7">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三、监测对象</w:t>
            </w:r>
          </w:p>
          <w:p w14:paraId="5610A9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lang w:val="en-US" w:eastAsia="zh-CN"/>
              </w:rPr>
              <w:t>广东省2处国家重要湿地，分别是广东省珠海市中华白海豚国家重要湿地、广东省南雄孔江国家重要湿地；6处国际重要湿地，分别是广东湛江红树林国际重要湿地、广东惠东港口海龟国际重要湿地、广东海丰国际重要湿地、广东南澎列岛国际重要湿地、广东广州海珠国际重要湿地、广东深圳福田红树林国际重要湿地。</w:t>
            </w:r>
          </w:p>
        </w:tc>
      </w:tr>
      <w:tr w14:paraId="669FA4F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853323">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B980322">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bidi="ar"/>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62721BE">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四、监测指标</w:t>
            </w:r>
          </w:p>
          <w:p w14:paraId="57FCFA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CN"/>
              </w:rPr>
              <w:t>国家（国际）重要湿地生态监测内容包括：国家（国际）重要湿地范围和面积、湿地类型和面积、水源补给状况、水质、地表水富营养化程度、湿地植被覆盖率、物种多样性、水鸟种类和数量、珍贵濒危物种数量、珍贵濒危物种种群数量情况、珍贵濒危物种栖息地情况、动植物入侵状况、土地（水域）利用方式变化状况、社会影响共14个指标。以及针对日常保护过程中存在的问题提出建议。</w:t>
            </w:r>
          </w:p>
        </w:tc>
      </w:tr>
      <w:tr w14:paraId="1046897F">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1E346D">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712555E">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bidi="ar"/>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A01DE8">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五、技术标准及规范</w:t>
            </w:r>
          </w:p>
          <w:p w14:paraId="37AF56EC">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(1)《湿地资源调查技术规程》（TD/T 1109-2025）；</w:t>
            </w:r>
          </w:p>
          <w:p w14:paraId="0CD64659">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(2)《第三次全国国土调查工作分类地类认定细则》（国务院第三次全国国土调查领导小组办公室2019年）；</w:t>
            </w:r>
          </w:p>
          <w:p w14:paraId="5754455D">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(3)《国土空间调查、规划、用途管制用地用海分类指南》（自然资发〔2023〕234号）；</w:t>
            </w:r>
          </w:p>
          <w:p w14:paraId="6BB5903A">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(4)《全国林草生态综合监测2025年度动态监测方案》；</w:t>
            </w:r>
          </w:p>
          <w:p w14:paraId="22D866D2">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(5)《2025年广东省湿地调查监测操作细则》；</w:t>
            </w:r>
          </w:p>
          <w:p w14:paraId="283F13B3">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(6)《自然保护区主要生态因子监测技术规范》（DB44/T 1791-2015）；</w:t>
            </w:r>
          </w:p>
          <w:p w14:paraId="1044F09A">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(7)《自然保护区及国家公园生物多样性监测技术规程》（DB53/T 391-2012）；</w:t>
            </w:r>
          </w:p>
          <w:p w14:paraId="09DA224D">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(8)《生物多样性（陆域生态系统）遥感调查技术指南》（HJ1340-2023）；</w:t>
            </w:r>
          </w:p>
          <w:p w14:paraId="4765A2E6">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(9)《生物多样性观测技术导则 陆生维管植物》（HJ710.1-2014）；</w:t>
            </w:r>
          </w:p>
          <w:p w14:paraId="2484F0D9">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(10)《生物多样性观测技术导则 水生维管植物》（HJ710.12-2016）；</w:t>
            </w:r>
          </w:p>
          <w:p w14:paraId="354B9ED6">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(11)《生物多样性观测技术导则 陆生哺乳动物》（HJ710.3-2014）；</w:t>
            </w:r>
          </w:p>
          <w:p w14:paraId="05121995">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(12)《生物多样性观测技术导则 鸟类》（HJ710.4-2014）；</w:t>
            </w:r>
          </w:p>
          <w:p w14:paraId="3E331FB5">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(13)《生物多样性观测技术导则 爬行动物》（HJ710.5-2014）；</w:t>
            </w:r>
          </w:p>
          <w:p w14:paraId="26B44F03">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(14)《生物多样性观测技术导则 两栖动物》（HJ710.6-2014）；</w:t>
            </w:r>
          </w:p>
          <w:p w14:paraId="5643F8C0">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(15)《生物多样性观测技术导则 内陆水域鱼类》（HJ710.7-2014）；</w:t>
            </w:r>
          </w:p>
          <w:p w14:paraId="33053B0E">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(16)《生物多样性观测技术导则 淡水底栖大型无脊椎动物》（HJ710.8-2014）；</w:t>
            </w:r>
          </w:p>
          <w:p w14:paraId="02DA1FBB">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(17)《环境影响评价技术导则-总纲》（HJ2.1-2011）；</w:t>
            </w:r>
          </w:p>
          <w:p w14:paraId="2B25D0CF">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(18)《环境影响评价技术导则-大气环境》（HJ2.2-2018）；</w:t>
            </w:r>
          </w:p>
          <w:p w14:paraId="45F2FBC1">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(19)《环境影响评价技术导则-地表水环境》（HJ/T 2.3-2018）；</w:t>
            </w:r>
          </w:p>
          <w:p w14:paraId="70F98C79">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(20)《环境影响评价技术导则-声环境》（HJ2.4-2021）；</w:t>
            </w:r>
          </w:p>
          <w:p w14:paraId="65F20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Hans"/>
              </w:rPr>
              <w:t>(21)《环境影响评价技术导则-生态影响》（HJ19-2022）。</w:t>
            </w:r>
          </w:p>
        </w:tc>
      </w:tr>
      <w:tr w14:paraId="3A291BB7">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E762E3C">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FA026C">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bidi="ar"/>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C88EB1">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六、服务内容及要求</w:t>
            </w:r>
          </w:p>
          <w:p w14:paraId="62857D9D">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（一）调查内容</w:t>
            </w:r>
          </w:p>
          <w:p w14:paraId="3303C7A1">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根据《全国林草生态综合监测2025年度动态监测方案》以及《2025年广东省湿地调查监测操作细则》，对广东省2处国家重要湿地和6处国际重要湿地进行逐一外业调查和监测，形成单行本监测报告，并根据监测结果对广东省8处国家（国际）重要湿地生态状况进行汇总分析，形成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Hans"/>
              </w:rPr>
              <w:t>年广东省国家（国际）重要湿地汇总报告。国家（国际）重要湿地监测内容包括202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Hans"/>
              </w:rPr>
              <w:t>年度面积及变化率、水源补给状况、水质、地表水富营养化程度、植被面积及变化率、物种多样性及变化率、濒危物种种群数量及变化率、濒危物种栖息地面积及变化率、水鸟数量变化率、濒危物种数量变化率、植物入侵物种等监测指标。（涉及濒危物种的监测数据需符合《野生动物保护法》信息保密及共享规定。）</w:t>
            </w:r>
          </w:p>
          <w:p w14:paraId="28FADB7D">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（二）资质要求及团队服务</w:t>
            </w:r>
          </w:p>
          <w:p w14:paraId="5D8F64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Hans"/>
              </w:rPr>
              <w:t>供应商需具备较高专业质素，且项目负责人应具备林草相关专业硕士研究生或以上学历，且具有林草类教授级或正高级职称者优先；安排不少于30人的技术人员团队应具备农业、林业、林学、森林经理、森林培育、风景园林、生态学、动物学、植物学、草学、水土保持与荒漠化防治、环境工程、遥感、地理信息系统等相关专业本科或以上学历，且具有林草类的教授级或正高级工程师职称者优先。根据采购人要求落实应急工作机制，快速响应。</w:t>
            </w:r>
          </w:p>
        </w:tc>
      </w:tr>
      <w:tr w14:paraId="2EE80EB1">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16A12A3">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1C4ABB">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bidi="ar"/>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5F4214">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七、提交成果</w:t>
            </w:r>
          </w:p>
          <w:p w14:paraId="2D9657B2">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（1）监测报告</w:t>
            </w:r>
          </w:p>
          <w:p w14:paraId="06672CD3">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2处国家重要湿地监测报告单行本；6处国际重要湿地监测报告单行本。</w:t>
            </w:r>
          </w:p>
          <w:p w14:paraId="17F5138A">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（2）图件</w:t>
            </w:r>
          </w:p>
          <w:p w14:paraId="4CB51BE9">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2处国家重要湿地范围图、湿地类型分布图以及土地利用现状图；6处国际重要湿地范围图、湿地类型分布图以及土地利用现状图。</w:t>
            </w:r>
          </w:p>
          <w:p w14:paraId="17B134E0">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（3）矢量数据库</w:t>
            </w:r>
          </w:p>
          <w:p w14:paraId="578B0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lang w:val="en-US" w:eastAsia="zh-CN"/>
              </w:rPr>
              <w:t>2处国家重要湿地范围和湿地类型矢量数据库；6处国际重要湿地范围和湿地类型矢量数据库。</w:t>
            </w:r>
          </w:p>
        </w:tc>
      </w:tr>
      <w:tr w14:paraId="4D9E4EE3">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1A3257">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0CA4174">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bidi="ar"/>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D75E5A">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八、验收要求</w:t>
            </w:r>
          </w:p>
          <w:p w14:paraId="77B0587B">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技术咨询服务工作成果应按照国家、广东省林业主管部门的有关工作要求，确保工作质量，：</w:t>
            </w:r>
          </w:p>
          <w:p w14:paraId="37A8F69F">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（1）中标人提交技术咨询服务工作成果的形式：8 处国家(国际)重要湿地年度监测报告单行本(含文本、附表、附图和附件以及矢量数据等)电子版及纸质材料 30 套，提交方式为纸质版。</w:t>
            </w:r>
          </w:p>
          <w:p w14:paraId="7E67B78D">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（2）技术咨询服务工作成果的验收标准:中标人按照国家、广东省林业主管部门的有关工作要求，确保工作质量，成果报告能满足国家、省级和地方的有关规定，通过验收。</w:t>
            </w:r>
          </w:p>
          <w:p w14:paraId="6887CCF4">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（3）技术咨询服务工作成果的验收方法:由广东省林业调查规划院组织相关专家对成果进行验收，中标人协助并配合。</w:t>
            </w:r>
          </w:p>
          <w:p w14:paraId="31DC6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lang w:val="en-US" w:eastAsia="zh-CN"/>
              </w:rPr>
              <w:t>（4）验收的时间和地点:由广东省林业调查规划院具体安排。</w:t>
            </w:r>
          </w:p>
        </w:tc>
      </w:tr>
      <w:tr w14:paraId="226821B8">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2AE106">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p>
        </w:tc>
        <w:tc>
          <w:tcPr>
            <w:tcW w:w="80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DC2F3D3">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bidi="ar"/>
              </w:rPr>
            </w:pPr>
          </w:p>
        </w:tc>
        <w:tc>
          <w:tcPr>
            <w:tcW w:w="71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8DF96E">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九、其他要求</w:t>
            </w:r>
          </w:p>
          <w:p w14:paraId="4101CBD3">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（1）如因国家政策、技术规程、操作细则等发生变化，需按照最新的国家政策、技术规程、操作细则等开展工作，若投标人未满足“政策动态调整”要求，导致的返工费用由供应商承担。</w:t>
            </w:r>
          </w:p>
          <w:p w14:paraId="60BF4740">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（2）投标人针对采购需求，应对本项目进行重点难点分析，并制定工作方案。</w:t>
            </w:r>
          </w:p>
          <w:p w14:paraId="62A2725D">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（3）投标人应制定完整的质量保证措施及安全生产管理方案。</w:t>
            </w:r>
          </w:p>
          <w:p w14:paraId="176F156F">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（4）投标人应提供服务承诺，为项目后续工作提供保障。</w:t>
            </w:r>
          </w:p>
          <w:p w14:paraId="2E89331D">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（5）投标人应配备充足的人员，为本项目投入的服务人员具备专业性。</w:t>
            </w:r>
          </w:p>
          <w:p w14:paraId="35ED50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lang w:val="en-US" w:eastAsia="zh-CN"/>
              </w:rPr>
              <w:t>（6）投标人应满足本项目所需的技术能力要求及同类项目经验。</w:t>
            </w:r>
          </w:p>
        </w:tc>
      </w:tr>
      <w:tr w14:paraId="7293B9B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A565A0">
            <w:pPr>
              <w:keepNext w:val="0"/>
              <w:keepLines w:val="0"/>
              <w:pageBreakBefore w:val="0"/>
              <w:widowControl/>
              <w:kinsoku/>
              <w:wordWrap w:val="0"/>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说明</w:t>
            </w:r>
          </w:p>
        </w:tc>
        <w:tc>
          <w:tcPr>
            <w:tcW w:w="7978" w:type="dxa"/>
            <w:gridSpan w:val="2"/>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5B6ABA">
            <w:pPr>
              <w:keepNext w:val="0"/>
              <w:keepLines w:val="0"/>
              <w:pageBreakBefore w:val="0"/>
              <w:widowControl/>
              <w:kinsoku/>
              <w:wordWrap w:val="0"/>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打“★”号条款为实质性条款，若有任何一条负偏离或不满足则导致投标（响应）无效。</w:t>
            </w:r>
          </w:p>
          <w:p w14:paraId="039D4CB1">
            <w:pPr>
              <w:keepNext w:val="0"/>
              <w:keepLines w:val="0"/>
              <w:pageBreakBefore w:val="0"/>
              <w:widowControl/>
              <w:kinsoku/>
              <w:wordWrap w:val="0"/>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打“▲”号条款为重要技术参数（如有），若有部分“▲”条款未响应或不满足，将根据评审要求影响其得分，但不作为无效投标（响应）条款。</w:t>
            </w:r>
          </w:p>
        </w:tc>
      </w:tr>
    </w:tbl>
    <w:p w14:paraId="52477A96">
      <w:pPr>
        <w:widowControl/>
        <w:spacing w:before="0" w:beforeAutospacing="0" w:after="0" w:afterAutospacing="0"/>
        <w:outlineLvl w:val="9"/>
        <w:rPr>
          <w:rFonts w:ascii="Calibri" w:hAnsi="Calibri" w:eastAsia="宋体" w:cs="宋体"/>
          <w:color w:val="auto"/>
          <w:highlight w:val="none"/>
          <w:shd w:val="clear" w:color="auto" w:fill="FFFFFF"/>
        </w:rPr>
      </w:pPr>
    </w:p>
    <w:p w14:paraId="182C310F">
      <w:pPr>
        <w:rPr>
          <w:rFonts w:hint="eastAsia" w:eastAsiaTheme="minorEastAsia"/>
          <w:lang w:val="en-US" w:eastAsia="zh-CN"/>
        </w:rPr>
      </w:pPr>
    </w:p>
    <w:p w14:paraId="0D76375C">
      <w:pPr>
        <w:rPr>
          <w:rFonts w:hint="eastAsia" w:eastAsiaTheme="minorEastAsia"/>
          <w:lang w:val="en-US" w:eastAsia="zh-CN"/>
        </w:rPr>
      </w:pPr>
    </w:p>
    <w:p w14:paraId="3BDC7224">
      <w:pPr>
        <w:rPr>
          <w:rFonts w:hint="eastAsia" w:eastAsiaTheme="minorEastAsia"/>
          <w:lang w:val="en-US" w:eastAsia="zh-CN"/>
        </w:rPr>
      </w:pPr>
    </w:p>
    <w:p w14:paraId="6BFA8DDE">
      <w:pPr>
        <w:rPr>
          <w:rFonts w:hint="eastAsia" w:eastAsiaTheme="minorEastAsia"/>
          <w:lang w:val="en-US" w:eastAsia="zh-CN"/>
        </w:rPr>
      </w:pPr>
    </w:p>
    <w:sectPr>
      <w:pgSz w:w="11906" w:h="16838"/>
      <w:pgMar w:top="1440" w:right="1644"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81648"/>
    <w:multiLevelType w:val="singleLevel"/>
    <w:tmpl w:val="75C81648"/>
    <w:lvl w:ilvl="0" w:tentative="0">
      <w:start w:val="1"/>
      <w:numFmt w:val="decimal"/>
      <w:suff w:val="nothing"/>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12D1"/>
    <w:rsid w:val="2FB31E38"/>
    <w:rsid w:val="5699632D"/>
    <w:rsid w:val="63A8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3478</Words>
  <Characters>3800</Characters>
  <Lines>0</Lines>
  <Paragraphs>0</Paragraphs>
  <TotalTime>1</TotalTime>
  <ScaleCrop>false</ScaleCrop>
  <LinksUpToDate>false</LinksUpToDate>
  <CharactersWithSpaces>3816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2026-05-20T09:05:00Z</dcterms:created>
  <dc:creator>Administrator</dc:creator>
  <cp:lastModifiedBy>Sweetheart</cp:lastModifiedBy>
  <dcterms:modified xsi:type="dcterms:W3CDTF">2026-05-22T09:43:34Z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eyJoZGlkIjoiYzY5ZDE0YWYyMjAzMzNhMzAyODg5NDQzZjNkN2IzNzkiLCJ1c2VySWQiOiI0NjQ0MjU1NDQifQ==</vt:lpwstr>
  </property>
  <property fmtid="{D5CDD505-2E9C-101B-9397-08002B2CF9AE}" pid="4" name="ICV">
    <vt:lpwstr>5EA38F53B5E4411E9013F69651D2FAE0_12</vt:lpwstr>
  </property>
</Properties>
</file>